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0AF" w:rsidRDefault="007970AF" w:rsidP="007970A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1439A6">
        <w:rPr>
          <w:b/>
          <w:noProof/>
          <w:sz w:val="24"/>
          <w:lang w:eastAsia="zh-CN"/>
        </w:rPr>
        <w:t>bis-</w:t>
      </w:r>
      <w:r>
        <w:rPr>
          <w:b/>
          <w:noProof/>
          <w:sz w:val="24"/>
          <w:lang w:eastAsia="zh-CN"/>
        </w:rPr>
        <w:t>e</w:t>
      </w:r>
      <w:r>
        <w:rPr>
          <w:rFonts w:cs="Arial"/>
          <w:b/>
          <w:noProof/>
          <w:sz w:val="24"/>
          <w:szCs w:val="24"/>
        </w:rPr>
        <w:tab/>
      </w:r>
      <w:r w:rsidR="00F20511" w:rsidRPr="00F20511">
        <w:rPr>
          <w:rFonts w:eastAsia="宋体" w:cs="Arial"/>
          <w:b/>
          <w:noProof/>
          <w:sz w:val="24"/>
          <w:szCs w:val="24"/>
          <w:lang w:eastAsia="zh-CN"/>
        </w:rPr>
        <w:t>R4-2106826</w:t>
      </w:r>
    </w:p>
    <w:p w:rsidR="001439A6" w:rsidRDefault="001439A6" w:rsidP="001439A6">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rsidR="00D46BD4" w:rsidRPr="001439A6"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BE7E47" w:rsidRPr="00BE7E47">
        <w:rPr>
          <w:rFonts w:ascii="Arial" w:hAnsi="Arial"/>
          <w:sz w:val="24"/>
          <w:lang w:val="en-US" w:eastAsia="zh-CN"/>
        </w:rPr>
        <w:t>Discussion on NR FR2 HST deployment Scenario-A</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439A6">
        <w:rPr>
          <w:rFonts w:ascii="Arial" w:hAnsi="Arial"/>
          <w:sz w:val="24"/>
          <w:lang w:val="pt-BR"/>
        </w:rPr>
        <w:tab/>
      </w:r>
      <w:r w:rsidR="0011360B">
        <w:rPr>
          <w:rFonts w:ascii="Arial" w:hAnsi="Arial"/>
          <w:sz w:val="24"/>
          <w:lang w:val="pt-BR"/>
        </w:rPr>
        <w:t>8.7.2.1</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11360B" w:rsidRPr="004B565E" w:rsidRDefault="00CF56E6" w:rsidP="0011360B">
      <w:pPr>
        <w:rPr>
          <w:lang w:val="en-US" w:eastAsia="zh-CN"/>
        </w:rPr>
      </w:pPr>
      <w:r>
        <w:rPr>
          <w:lang w:eastAsia="zh-CN"/>
        </w:rPr>
        <w:t>During RAN4#98</w:t>
      </w:r>
      <w:r w:rsidR="0011360B">
        <w:rPr>
          <w:lang w:eastAsia="zh-CN"/>
        </w:rPr>
        <w:t xml:space="preserve">-e meeting, </w:t>
      </w:r>
      <w:r w:rsidR="0011360B" w:rsidRPr="0011360B">
        <w:rPr>
          <w:lang w:eastAsia="zh-CN"/>
        </w:rPr>
        <w:t xml:space="preserve">Way forward </w:t>
      </w:r>
      <w:r w:rsidR="0011360B">
        <w:rPr>
          <w:lang w:eastAsia="zh-CN"/>
        </w:rPr>
        <w:fldChar w:fldCharType="begin"/>
      </w:r>
      <w:r w:rsidR="0011360B">
        <w:rPr>
          <w:lang w:eastAsia="zh-CN"/>
        </w:rPr>
        <w:instrText xml:space="preserve"> REF _Ref66697736 \r \h </w:instrText>
      </w:r>
      <w:r w:rsidR="0011360B">
        <w:rPr>
          <w:lang w:eastAsia="zh-CN"/>
        </w:rPr>
      </w:r>
      <w:r w:rsidR="0011360B">
        <w:rPr>
          <w:lang w:eastAsia="zh-CN"/>
        </w:rPr>
        <w:fldChar w:fldCharType="separate"/>
      </w:r>
      <w:r w:rsidR="00EB2E04">
        <w:rPr>
          <w:lang w:eastAsia="zh-CN"/>
        </w:rPr>
        <w:t>[1]</w:t>
      </w:r>
      <w:r w:rsidR="0011360B">
        <w:rPr>
          <w:lang w:eastAsia="zh-CN"/>
        </w:rPr>
        <w:fldChar w:fldCharType="end"/>
      </w:r>
      <w:r w:rsidR="0011360B">
        <w:rPr>
          <w:lang w:eastAsia="zh-CN"/>
        </w:rPr>
        <w:t xml:space="preserve"> </w:t>
      </w:r>
      <w:r w:rsidR="0011360B" w:rsidRPr="0011360B">
        <w:rPr>
          <w:lang w:eastAsia="zh-CN"/>
        </w:rPr>
        <w:t xml:space="preserve">on Deployment Scenario and UE RF Requirement for FR2 HST </w:t>
      </w:r>
      <w:r w:rsidR="0011360B" w:rsidRPr="004B565E">
        <w:rPr>
          <w:lang w:eastAsia="zh-CN"/>
        </w:rPr>
        <w:t xml:space="preserve">was approved. </w:t>
      </w:r>
      <w:r w:rsidR="0011360B" w:rsidRPr="004B565E">
        <w:rPr>
          <w:lang w:val="en-US" w:eastAsia="zh-CN"/>
        </w:rPr>
        <w:t xml:space="preserve">In this contribution, we share our views about </w:t>
      </w:r>
      <w:r w:rsidR="0011360B" w:rsidRPr="0011360B">
        <w:rPr>
          <w:lang w:val="en-US" w:eastAsia="zh-CN"/>
        </w:rPr>
        <w:t>NR FR2 HST deployment Scenario-A</w:t>
      </w:r>
      <w:r w:rsidR="0011360B"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5A15EC" w:rsidRDefault="005A15EC" w:rsidP="005A15EC">
      <w:pPr>
        <w:rPr>
          <w:lang w:val="en-US" w:eastAsia="zh-CN"/>
        </w:rPr>
      </w:pPr>
      <w:r>
        <w:rPr>
          <w:rFonts w:hint="eastAsia"/>
          <w:lang w:val="en-US" w:eastAsia="zh-CN"/>
        </w:rPr>
        <w:t>He</w:t>
      </w:r>
      <w:r>
        <w:rPr>
          <w:lang w:val="en-US" w:eastAsia="zh-CN"/>
        </w:rPr>
        <w:t xml:space="preserve">re we analysis the link budget with the assumption </w:t>
      </w:r>
      <w:r w:rsidR="00D313C1">
        <w:rPr>
          <w:lang w:val="en-US" w:eastAsia="zh-CN"/>
        </w:rPr>
        <w:t>shows in the following Table 2</w:t>
      </w:r>
      <w:r>
        <w:rPr>
          <w:lang w:val="en-US" w:eastAsia="zh-CN"/>
        </w:rPr>
        <w:t>-1.</w:t>
      </w:r>
    </w:p>
    <w:p w:rsidR="005720C1" w:rsidRDefault="005720C1" w:rsidP="005720C1">
      <w:pPr>
        <w:pStyle w:val="TH"/>
        <w:rPr>
          <w:lang w:eastAsia="zh-CN"/>
        </w:rPr>
      </w:pPr>
      <w:r>
        <w:rPr>
          <w:rFonts w:hint="eastAsia"/>
          <w:lang w:eastAsia="zh-CN"/>
        </w:rPr>
        <w:t>T</w:t>
      </w:r>
      <w:r>
        <w:rPr>
          <w:lang w:eastAsia="zh-CN"/>
        </w:rPr>
        <w:t>able</w:t>
      </w:r>
      <w:r w:rsidR="00D313C1">
        <w:rPr>
          <w:lang w:eastAsia="zh-CN"/>
        </w:rPr>
        <w:t xml:space="preserve"> 2</w:t>
      </w:r>
      <w:r w:rsidR="00496C1C">
        <w:rPr>
          <w:lang w:eastAsia="zh-CN"/>
        </w:rPr>
        <w:t xml:space="preserve">-1 </w:t>
      </w:r>
      <w:r w:rsidR="00496C1C" w:rsidRPr="00496C1C">
        <w:rPr>
          <w:lang w:eastAsia="zh-CN"/>
        </w:rPr>
        <w:t>Simulation assumptions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924"/>
      </w:tblGrid>
      <w:tr w:rsidR="003C63C1"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C63C1" w:rsidRPr="003C63C1" w:rsidRDefault="003C63C1" w:rsidP="003C63C1">
            <w:pPr>
              <w:pStyle w:val="TAH"/>
              <w:rPr>
                <w:rFonts w:eastAsiaTheme="minorEastAsia"/>
                <w:lang w:val="en-US" w:eastAsia="zh-CN"/>
              </w:rPr>
            </w:pPr>
            <w:r>
              <w:rPr>
                <w:rFonts w:eastAsiaTheme="minorEastAsia" w:hint="eastAsia"/>
                <w:lang w:val="en-US" w:eastAsia="zh-CN"/>
              </w:rPr>
              <w:t>P</w:t>
            </w:r>
            <w:r>
              <w:rPr>
                <w:rFonts w:eastAsiaTheme="minorEastAsia"/>
                <w:lang w:val="en-US" w:eastAsia="zh-CN"/>
              </w:rPr>
              <w:t>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3C63C1" w:rsidRDefault="003C63C1" w:rsidP="003C63C1">
            <w:pPr>
              <w:pStyle w:val="TAH"/>
              <w:rPr>
                <w:lang w:val="en-US"/>
              </w:rPr>
            </w:pPr>
            <w:r>
              <w:rPr>
                <w:lang w:val="en-US"/>
              </w:rPr>
              <w:t>Value</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30GHz</w:t>
            </w:r>
          </w:p>
        </w:tc>
      </w:tr>
      <w:tr w:rsidR="00310D5F"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10D5F" w:rsidRPr="00310D5F" w:rsidRDefault="00310D5F" w:rsidP="003C63C1">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rsidR="00310D5F" w:rsidRPr="00310D5F" w:rsidRDefault="00310D5F" w:rsidP="003C63C1">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00m</w:t>
            </w:r>
          </w:p>
        </w:tc>
      </w:tr>
      <w:tr w:rsidR="00310D5F"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10D5F" w:rsidRDefault="00310D5F" w:rsidP="003C63C1">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min</w:t>
            </w:r>
          </w:p>
        </w:tc>
        <w:tc>
          <w:tcPr>
            <w:tcW w:w="0" w:type="auto"/>
            <w:tcBorders>
              <w:top w:val="single" w:sz="4" w:space="0" w:color="auto"/>
              <w:left w:val="single" w:sz="4" w:space="0" w:color="auto"/>
              <w:bottom w:val="single" w:sz="4" w:space="0" w:color="auto"/>
              <w:right w:val="single" w:sz="4" w:space="0" w:color="auto"/>
            </w:tcBorders>
            <w:vAlign w:val="center"/>
          </w:tcPr>
          <w:p w:rsidR="00310D5F" w:rsidRDefault="00310D5F" w:rsidP="003C63C1">
            <w:pPr>
              <w:pStyle w:val="TAC"/>
              <w:rPr>
                <w:rFonts w:eastAsiaTheme="minorEastAsia"/>
                <w:lang w:val="en-US" w:eastAsia="zh-CN"/>
              </w:rPr>
            </w:pPr>
            <w:r>
              <w:rPr>
                <w:rFonts w:eastAsiaTheme="minorEastAsia"/>
                <w:lang w:val="en-US" w:eastAsia="zh-CN"/>
              </w:rPr>
              <w:t>10m</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47dBm</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3C63C1" w:rsidP="003C63C1">
            <w:pPr>
              <w:pStyle w:val="TAC"/>
              <w:rPr>
                <w:lang w:val="en-US"/>
              </w:rPr>
            </w:pPr>
            <w:r>
              <w:rPr>
                <w:lang w:val="en-US"/>
              </w:rPr>
              <w:t>15</w:t>
            </w:r>
            <w:r w:rsidR="005A15EC">
              <w:rPr>
                <w:lang w:val="en-US"/>
              </w:rPr>
              <w:t>m</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60151C">
            <w:pPr>
              <w:pStyle w:val="TAC"/>
            </w:pPr>
            <w:r>
              <w:t>[Mg, Ng, M, N, P]=[1, 1, 8, 8, 2]</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B51F45" w:rsidP="00B51F45">
            <w:pPr>
              <w:pStyle w:val="TAC"/>
              <w:rPr>
                <w:lang w:val="en-US"/>
              </w:rPr>
            </w:pPr>
            <w:r>
              <w:rPr>
                <w:lang w:val="en-US"/>
              </w:rPr>
              <w:t>RMa Lo</w:t>
            </w:r>
            <w:r w:rsidR="005A15EC">
              <w:rPr>
                <w:lang w:val="en-US"/>
              </w:rPr>
              <w:t>S</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5m</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60151C">
            <w:pPr>
              <w:pStyle w:val="TAC"/>
              <w:rPr>
                <w:lang w:val="en-US"/>
              </w:rPr>
            </w:pPr>
            <w:r>
              <w:rPr>
                <w:lang w:val="en-US"/>
              </w:rPr>
              <w:t>[Mg, Ng, M, N, P]=[1, 1, 4, 4, 2]</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pPr>
            <w:r>
              <w:rPr>
                <w:lang w:val="en-US"/>
              </w:rPr>
              <w:t>10dB</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13 dB</w:t>
            </w:r>
          </w:p>
        </w:tc>
      </w:tr>
      <w:tr w:rsidR="005A15E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rsidR="005A15EC" w:rsidRDefault="005A15EC" w:rsidP="003C63C1">
            <w:pPr>
              <w:pStyle w:val="TAC"/>
              <w:rPr>
                <w:lang w:val="en-US"/>
              </w:rPr>
            </w:pPr>
            <w:r>
              <w:rPr>
                <w:lang w:val="en-US"/>
              </w:rPr>
              <w:t>18.6dB (i.e. FR2 Test 2-6, 64QAM CR=0.43 and Rank2 in TS 38.101-4)</w:t>
            </w:r>
          </w:p>
        </w:tc>
      </w:tr>
      <w:tr w:rsidR="00496C1C" w:rsidTr="00447EF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96C1C" w:rsidRPr="00496C1C" w:rsidRDefault="00496C1C" w:rsidP="003C63C1">
            <w:pPr>
              <w:pStyle w:val="TAC"/>
              <w:rPr>
                <w:rFonts w:eastAsiaTheme="minorEastAsia"/>
                <w:lang w:val="en-US" w:eastAsia="zh-CN"/>
              </w:rPr>
            </w:pPr>
            <w:r>
              <w:rPr>
                <w:rFonts w:eastAsiaTheme="minorEastAsia" w:hint="eastAsia"/>
                <w:lang w:val="en-US" w:eastAsia="zh-CN"/>
              </w:rPr>
              <w:t>O</w:t>
            </w:r>
            <w:r>
              <w:rPr>
                <w:rFonts w:eastAsiaTheme="minorEastAsia"/>
                <w:lang w:val="en-US" w:eastAsia="zh-CN"/>
              </w:rPr>
              <w:t>thers</w:t>
            </w:r>
          </w:p>
        </w:tc>
        <w:tc>
          <w:tcPr>
            <w:tcW w:w="0" w:type="auto"/>
            <w:tcBorders>
              <w:top w:val="single" w:sz="4" w:space="0" w:color="auto"/>
              <w:left w:val="single" w:sz="4" w:space="0" w:color="auto"/>
              <w:bottom w:val="single" w:sz="4" w:space="0" w:color="auto"/>
              <w:right w:val="single" w:sz="4" w:space="0" w:color="auto"/>
            </w:tcBorders>
            <w:vAlign w:val="center"/>
          </w:tcPr>
          <w:p w:rsidR="00496C1C" w:rsidRPr="00496C1C" w:rsidRDefault="00496C1C" w:rsidP="003C63C1">
            <w:pPr>
              <w:pStyle w:val="TAC"/>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W</w:t>
            </w:r>
            <w:r>
              <w:rPr>
                <w:rFonts w:eastAsiaTheme="minorEastAsia"/>
                <w:lang w:val="en-US" w:eastAsia="zh-CN"/>
              </w:rPr>
              <w:t xml:space="preserve">F </w:t>
            </w:r>
            <w:r>
              <w:rPr>
                <w:rFonts w:eastAsiaTheme="minorEastAsia"/>
                <w:lang w:val="en-US" w:eastAsia="zh-CN"/>
              </w:rPr>
              <w:fldChar w:fldCharType="begin"/>
            </w:r>
            <w:r>
              <w:rPr>
                <w:rFonts w:eastAsiaTheme="minorEastAsia"/>
                <w:lang w:val="en-US" w:eastAsia="zh-CN"/>
              </w:rPr>
              <w:instrText xml:space="preserve"> REF _Ref66697736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p>
        </w:tc>
      </w:tr>
    </w:tbl>
    <w:p w:rsidR="00DF3165" w:rsidRDefault="00DF3165" w:rsidP="00DF3165">
      <w:pPr>
        <w:rPr>
          <w:lang w:val="en-US" w:eastAsia="zh-CN"/>
        </w:rPr>
      </w:pPr>
    </w:p>
    <w:p w:rsidR="003C63C1" w:rsidRDefault="003C63C1" w:rsidP="00496C1C">
      <w:pPr>
        <w:pStyle w:val="2"/>
        <w:rPr>
          <w:lang w:val="en-US" w:eastAsia="zh-CN"/>
        </w:rPr>
      </w:pPr>
      <w:r>
        <w:rPr>
          <w:rFonts w:hint="eastAsia"/>
          <w:lang w:val="en-US" w:eastAsia="zh-CN"/>
        </w:rPr>
        <w:t>B</w:t>
      </w:r>
      <w:r>
        <w:rPr>
          <w:lang w:val="en-US" w:eastAsia="zh-CN"/>
        </w:rPr>
        <w:t>i-directional</w:t>
      </w:r>
    </w:p>
    <w:p w:rsidR="00037B67" w:rsidRPr="00037B67" w:rsidRDefault="00037B67" w:rsidP="00037B67">
      <w:pPr>
        <w:rPr>
          <w:lang w:val="en-US" w:eastAsia="zh-CN"/>
        </w:rPr>
      </w:pPr>
      <w:r>
        <w:rPr>
          <w:lang w:val="en-US" w:eastAsia="zh-CN"/>
        </w:rPr>
        <w:t xml:space="preserve">For Bi-directional deployment, one </w:t>
      </w:r>
      <w:r w:rsidR="002C54B1">
        <w:rPr>
          <w:lang w:val="en-US" w:eastAsia="zh-CN"/>
        </w:rPr>
        <w:t xml:space="preserve">or two </w:t>
      </w:r>
      <w:r>
        <w:rPr>
          <w:lang w:val="en-US" w:eastAsia="zh-CN"/>
        </w:rPr>
        <w:t xml:space="preserve">beam is assumed. The boresight is pointed to </w:t>
      </w:r>
      <w:r w:rsidRPr="00037B67">
        <w:rPr>
          <w:lang w:eastAsia="zh-CN"/>
        </w:rPr>
        <w:t xml:space="preserve">the </w:t>
      </w:r>
      <w:r w:rsidR="002C54B1" w:rsidRPr="002C54B1">
        <w:rPr>
          <w:lang w:eastAsia="zh-CN"/>
        </w:rPr>
        <w:t>railway in the middle point between 2 RRHs</w:t>
      </w:r>
      <w:r>
        <w:rPr>
          <w:lang w:val="en-US" w:eastAsia="zh-CN"/>
        </w:rPr>
        <w:t>.</w:t>
      </w:r>
      <w:r w:rsidR="002C54B1">
        <w:rPr>
          <w:lang w:val="en-US" w:eastAsia="zh-CN"/>
        </w:rPr>
        <w:t xml:space="preserve"> The best beam in figures can be derived as the beam which has the strongest power among all beams.</w:t>
      </w:r>
    </w:p>
    <w:p w:rsidR="00DF3165" w:rsidRDefault="00C16B1D" w:rsidP="002C54B1">
      <w:pPr>
        <w:jc w:val="center"/>
        <w:rPr>
          <w:lang w:val="en-US" w:eastAsia="zh-CN"/>
        </w:rPr>
      </w:pPr>
      <w:r>
        <w:rPr>
          <w:noProof/>
          <w:lang w:val="en-US" w:eastAsia="zh-CN"/>
        </w:rPr>
        <w:lastRenderedPageBreak/>
        <w:drawing>
          <wp:inline distT="0" distB="0" distL="0" distR="0" wp14:anchorId="40F14C8F" wp14:editId="6621178F">
            <wp:extent cx="2667600" cy="2005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r w:rsidR="0041466C">
        <w:rPr>
          <w:noProof/>
          <w:lang w:val="en-US" w:eastAsia="zh-CN"/>
        </w:rPr>
        <w:drawing>
          <wp:inline distT="0" distB="0" distL="0" distR="0" wp14:anchorId="03E19A7F" wp14:editId="48D9A34B">
            <wp:extent cx="2667600" cy="2005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5200"/>
                    </a:xfrm>
                    <a:prstGeom prst="rect">
                      <a:avLst/>
                    </a:prstGeom>
                  </pic:spPr>
                </pic:pic>
              </a:graphicData>
            </a:graphic>
          </wp:inline>
        </w:drawing>
      </w:r>
    </w:p>
    <w:p w:rsidR="002C54B1" w:rsidRDefault="002C54B1" w:rsidP="00C16B1D">
      <w:pPr>
        <w:rPr>
          <w:lang w:val="en-US" w:eastAsia="zh-CN"/>
        </w:rPr>
      </w:pPr>
      <w:r>
        <w:rPr>
          <w:rFonts w:hint="eastAsia"/>
          <w:lang w:val="en-US" w:eastAsia="zh-CN"/>
        </w:rPr>
        <w:t>T</w:t>
      </w:r>
      <w:r>
        <w:rPr>
          <w:lang w:val="en-US" w:eastAsia="zh-CN"/>
        </w:rPr>
        <w:t xml:space="preserve">he link budget </w:t>
      </w:r>
      <w:r w:rsidRPr="002C54B1">
        <w:rPr>
          <w:lang w:val="en-US" w:eastAsia="zh-CN"/>
        </w:rPr>
        <w:t>remaining</w:t>
      </w:r>
      <w:r>
        <w:rPr>
          <w:lang w:val="en-US" w:eastAsia="zh-CN"/>
        </w:rPr>
        <w:t xml:space="preserve"> can be about 19.4 dB and 23.3dB for one and two beam case respectively.</w:t>
      </w:r>
      <w:r w:rsidR="00E90C97">
        <w:rPr>
          <w:rFonts w:hint="eastAsia"/>
          <w:lang w:val="en-US" w:eastAsia="zh-CN"/>
        </w:rPr>
        <w:t xml:space="preserve"> </w:t>
      </w:r>
      <w:r w:rsidR="0025166E">
        <w:rPr>
          <w:lang w:val="en-US" w:eastAsia="zh-CN"/>
        </w:rPr>
        <w:t xml:space="preserve">For </w:t>
      </w:r>
      <w:r>
        <w:rPr>
          <w:lang w:val="en-US" w:eastAsia="zh-CN"/>
        </w:rPr>
        <w:t xml:space="preserve">both </w:t>
      </w:r>
      <w:r w:rsidR="0025166E">
        <w:rPr>
          <w:lang w:val="en-US" w:eastAsia="zh-CN"/>
        </w:rPr>
        <w:t xml:space="preserve">one </w:t>
      </w:r>
      <w:r>
        <w:rPr>
          <w:lang w:val="en-US" w:eastAsia="zh-CN"/>
        </w:rPr>
        <w:t xml:space="preserve">and two </w:t>
      </w:r>
      <w:r w:rsidR="0025166E">
        <w:rPr>
          <w:lang w:val="en-US" w:eastAsia="zh-CN"/>
        </w:rPr>
        <w:t xml:space="preserve">beam case, </w:t>
      </w:r>
      <w:r w:rsidR="003C358A">
        <w:rPr>
          <w:lang w:val="en-US" w:eastAsia="zh-CN"/>
        </w:rPr>
        <w:t xml:space="preserve">the </w:t>
      </w:r>
      <w:r w:rsidR="0025166E">
        <w:rPr>
          <w:lang w:val="en-US" w:eastAsia="zh-CN"/>
        </w:rPr>
        <w:t>power of side-lobes</w:t>
      </w:r>
      <w:r w:rsidR="003C358A">
        <w:rPr>
          <w:lang w:val="en-US" w:eastAsia="zh-CN"/>
        </w:rPr>
        <w:t xml:space="preserve"> for different beams</w:t>
      </w:r>
      <w:r w:rsidR="0025166E">
        <w:rPr>
          <w:lang w:val="en-US" w:eastAsia="zh-CN"/>
        </w:rPr>
        <w:t xml:space="preserve"> </w:t>
      </w:r>
      <w:r w:rsidR="003C358A">
        <w:rPr>
          <w:lang w:val="en-US" w:eastAsia="zh-CN"/>
        </w:rPr>
        <w:t>change rapidly</w:t>
      </w:r>
      <w:r w:rsidR="0025166E">
        <w:rPr>
          <w:lang w:val="en-US" w:eastAsia="zh-CN"/>
        </w:rPr>
        <w:t xml:space="preserve"> when UE is </w:t>
      </w:r>
      <w:r w:rsidR="003C358A">
        <w:rPr>
          <w:lang w:val="en-US" w:eastAsia="zh-CN"/>
        </w:rPr>
        <w:t>near to the RRH</w:t>
      </w:r>
      <w:r w:rsidR="00D374D5">
        <w:rPr>
          <w:lang w:val="en-US" w:eastAsia="zh-CN"/>
        </w:rPr>
        <w:t xml:space="preserve"> and the minimum time duration for the best beam with same beam index can be far less than 160 ms that is the L1-RSRP measurement period</w:t>
      </w:r>
      <w:r w:rsidR="00496C1C">
        <w:rPr>
          <w:lang w:val="en-US" w:eastAsia="zh-CN"/>
        </w:rPr>
        <w:t xml:space="preserve"> for HST FR2 scenario as analysis in </w:t>
      </w:r>
      <w:r w:rsidR="00496C1C">
        <w:rPr>
          <w:lang w:val="en-US" w:eastAsia="zh-CN"/>
        </w:rPr>
        <w:fldChar w:fldCharType="begin"/>
      </w:r>
      <w:r w:rsidR="00496C1C">
        <w:rPr>
          <w:lang w:val="en-US" w:eastAsia="zh-CN"/>
        </w:rPr>
        <w:instrText xml:space="preserve"> REF _Ref68192528 \r \h </w:instrText>
      </w:r>
      <w:r w:rsidR="00496C1C">
        <w:rPr>
          <w:lang w:val="en-US" w:eastAsia="zh-CN"/>
        </w:rPr>
      </w:r>
      <w:r w:rsidR="00496C1C">
        <w:rPr>
          <w:lang w:val="en-US" w:eastAsia="zh-CN"/>
        </w:rPr>
        <w:fldChar w:fldCharType="separate"/>
      </w:r>
      <w:r w:rsidR="00496C1C">
        <w:rPr>
          <w:lang w:val="en-US" w:eastAsia="zh-CN"/>
        </w:rPr>
        <w:t>[2]</w:t>
      </w:r>
      <w:r w:rsidR="00496C1C">
        <w:rPr>
          <w:lang w:val="en-US" w:eastAsia="zh-CN"/>
        </w:rPr>
        <w:fldChar w:fldCharType="end"/>
      </w:r>
      <w:r w:rsidR="00D374D5">
        <w:rPr>
          <w:lang w:val="en-US" w:eastAsia="zh-CN"/>
        </w:rPr>
        <w:t>.</w:t>
      </w:r>
      <w:r w:rsidR="00D374D5">
        <w:rPr>
          <w:rFonts w:hint="eastAsia"/>
          <w:lang w:val="en-US" w:eastAsia="zh-CN"/>
        </w:rPr>
        <w:t xml:space="preserve"> </w:t>
      </w:r>
      <w:r w:rsidR="002E5B0A">
        <w:rPr>
          <w:lang w:val="en-US" w:eastAsia="zh-CN"/>
        </w:rPr>
        <w:t>It</w:t>
      </w:r>
      <w:r w:rsidR="00D374D5">
        <w:rPr>
          <w:lang w:val="en-US" w:eastAsia="zh-CN"/>
        </w:rPr>
        <w:t xml:space="preserve"> is a great challenge for the UE to ensure the performance </w:t>
      </w:r>
      <w:r w:rsidR="002F5650">
        <w:rPr>
          <w:lang w:val="en-US" w:eastAsia="zh-CN"/>
        </w:rPr>
        <w:t>not to degrade</w:t>
      </w:r>
      <w:r w:rsidR="00D374D5">
        <w:rPr>
          <w:lang w:val="en-US" w:eastAsia="zh-CN"/>
        </w:rPr>
        <w:t xml:space="preserve"> in such location. </w:t>
      </w:r>
      <w:r>
        <w:rPr>
          <w:lang w:val="en-US" w:eastAsia="zh-CN"/>
        </w:rPr>
        <w:t xml:space="preserve">UE can </w:t>
      </w:r>
      <w:r w:rsidR="00D374D5">
        <w:rPr>
          <w:lang w:val="en-US" w:eastAsia="zh-CN"/>
        </w:rPr>
        <w:t>use</w:t>
      </w:r>
      <w:r>
        <w:rPr>
          <w:lang w:val="en-US" w:eastAsia="zh-CN"/>
        </w:rPr>
        <w:t xml:space="preserve"> </w:t>
      </w:r>
      <w:r w:rsidR="00D374D5">
        <w:rPr>
          <w:lang w:val="en-US" w:eastAsia="zh-CN"/>
        </w:rPr>
        <w:t xml:space="preserve">different </w:t>
      </w:r>
      <w:r w:rsidR="00D374D5" w:rsidRPr="00D374D5">
        <w:rPr>
          <w:lang w:val="en-US" w:eastAsia="zh-CN"/>
        </w:rPr>
        <w:t>strategy</w:t>
      </w:r>
      <w:r w:rsidR="002E5B0A">
        <w:rPr>
          <w:lang w:val="en-US" w:eastAsia="zh-CN"/>
        </w:rPr>
        <w:t xml:space="preserve"> by implementation</w:t>
      </w:r>
      <w:r w:rsidR="00D374D5">
        <w:rPr>
          <w:lang w:val="en-US" w:eastAsia="zh-CN"/>
        </w:rPr>
        <w:t xml:space="preserve">, such as select </w:t>
      </w:r>
      <w:r>
        <w:rPr>
          <w:lang w:val="en-US" w:eastAsia="zh-CN"/>
        </w:rPr>
        <w:t>the best beam</w:t>
      </w:r>
      <w:r w:rsidR="00E90C97">
        <w:rPr>
          <w:lang w:val="en-US" w:eastAsia="zh-CN"/>
        </w:rPr>
        <w:t xml:space="preserve"> as per RSRP measurement result</w:t>
      </w:r>
      <w:r>
        <w:rPr>
          <w:lang w:val="en-US" w:eastAsia="zh-CN"/>
        </w:rPr>
        <w:t xml:space="preserve"> or directly switch </w:t>
      </w:r>
      <w:r w:rsidR="00E90C97">
        <w:rPr>
          <w:lang w:val="en-US" w:eastAsia="zh-CN"/>
        </w:rPr>
        <w:t xml:space="preserve">the UE beam point to </w:t>
      </w:r>
      <w:r w:rsidR="00D374D5">
        <w:rPr>
          <w:lang w:val="en-US" w:eastAsia="zh-CN"/>
        </w:rPr>
        <w:t xml:space="preserve">the main-lobe </w:t>
      </w:r>
      <w:r w:rsidR="00E90C97">
        <w:rPr>
          <w:lang w:val="en-US" w:eastAsia="zh-CN"/>
        </w:rPr>
        <w:t xml:space="preserve">beam </w:t>
      </w:r>
      <w:r w:rsidR="00D374D5">
        <w:rPr>
          <w:lang w:val="en-US" w:eastAsia="zh-CN"/>
        </w:rPr>
        <w:t>transmission from the next RRH.</w:t>
      </w:r>
      <w:r w:rsidR="002E5B0A">
        <w:rPr>
          <w:lang w:val="en-US" w:eastAsia="zh-CN"/>
        </w:rPr>
        <w:t xml:space="preserve"> For the former one, the best beam may</w:t>
      </w:r>
      <w:r w:rsidR="002F5650">
        <w:rPr>
          <w:lang w:val="en-US" w:eastAsia="zh-CN"/>
        </w:rPr>
        <w:t xml:space="preserve"> </w:t>
      </w:r>
      <w:r w:rsidR="002E5B0A">
        <w:rPr>
          <w:lang w:val="en-US" w:eastAsia="zh-CN"/>
        </w:rPr>
        <w:t>be unavailable with high probability once UE beam switching has been performed.</w:t>
      </w:r>
      <w:r w:rsidR="00C74BB5">
        <w:rPr>
          <w:lang w:val="en-US" w:eastAsia="zh-CN"/>
        </w:rPr>
        <w:t xml:space="preserve"> Therefore, we propose to not consider Bi-directional deployment for Scenario A.</w:t>
      </w:r>
    </w:p>
    <w:p w:rsidR="00C74BB5" w:rsidRDefault="00C74BB5" w:rsidP="00C74BB5">
      <w:pPr>
        <w:pStyle w:val="Proposal"/>
      </w:pPr>
      <w:r>
        <w:t>Not consider Bi-directional deployment for Scenario A</w:t>
      </w:r>
      <w:r w:rsidR="002F5650">
        <w:t xml:space="preserve"> (700m/10m)</w:t>
      </w:r>
      <w:r>
        <w:t>.</w:t>
      </w:r>
    </w:p>
    <w:p w:rsidR="00F54162" w:rsidRDefault="00F54162" w:rsidP="00496C1C">
      <w:pPr>
        <w:pStyle w:val="2"/>
        <w:rPr>
          <w:lang w:val="en-US" w:eastAsia="zh-CN"/>
        </w:rPr>
      </w:pPr>
      <w:r>
        <w:rPr>
          <w:lang w:val="en-US" w:eastAsia="zh-CN"/>
        </w:rPr>
        <w:t>Uni-directional</w:t>
      </w:r>
    </w:p>
    <w:p w:rsidR="00F54162" w:rsidRDefault="00F54162" w:rsidP="00F54162">
      <w:pPr>
        <w:rPr>
          <w:lang w:val="en-US" w:eastAsia="zh-CN"/>
        </w:rPr>
      </w:pPr>
      <w:r>
        <w:rPr>
          <w:lang w:val="en-US" w:eastAsia="zh-CN"/>
        </w:rPr>
        <w:t xml:space="preserve">For Uni-directional deployment, one beam is assumed. The boresight is pointed to </w:t>
      </w:r>
      <w:r w:rsidRPr="00037B67">
        <w:rPr>
          <w:lang w:eastAsia="zh-CN"/>
        </w:rPr>
        <w:t>the railway at the distance of Ds</w:t>
      </w:r>
      <w:r>
        <w:rPr>
          <w:lang w:eastAsia="zh-CN"/>
        </w:rPr>
        <w:t xml:space="preserve"> </w:t>
      </w:r>
      <w:r>
        <w:rPr>
          <w:lang w:val="en-US" w:eastAsia="zh-CN"/>
        </w:rPr>
        <w:t>and parallel to the railway for the following two figures respectively.</w:t>
      </w:r>
      <w:r w:rsidRPr="002E5B0A">
        <w:rPr>
          <w:lang w:val="en-US" w:eastAsia="zh-CN"/>
        </w:rPr>
        <w:t xml:space="preserve"> </w:t>
      </w:r>
      <w:r>
        <w:rPr>
          <w:lang w:val="en-US" w:eastAsia="zh-CN"/>
        </w:rPr>
        <w:t>The best beam in figures can be derived as the beam which has the strongest power among all beams.</w:t>
      </w:r>
    </w:p>
    <w:p w:rsidR="00F54162" w:rsidRDefault="00F54162" w:rsidP="00F54162">
      <w:pPr>
        <w:jc w:val="center"/>
        <w:rPr>
          <w:lang w:val="en-US" w:eastAsia="zh-CN"/>
        </w:rPr>
      </w:pPr>
      <w:r>
        <w:rPr>
          <w:noProof/>
          <w:lang w:val="en-US" w:eastAsia="zh-CN"/>
        </w:rPr>
        <w:drawing>
          <wp:inline distT="0" distB="0" distL="0" distR="0" wp14:anchorId="0A581F11" wp14:editId="71AC9226">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r>
        <w:rPr>
          <w:noProof/>
          <w:lang w:val="en-US" w:eastAsia="zh-CN"/>
        </w:rPr>
        <w:drawing>
          <wp:inline distT="0" distB="0" distL="0" distR="0" wp14:anchorId="046FBB97" wp14:editId="4D7C3F22">
            <wp:extent cx="2667600" cy="200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p w:rsidR="00F54162" w:rsidRPr="002E5B0A" w:rsidRDefault="00F54162" w:rsidP="00F54162">
      <w:pPr>
        <w:rPr>
          <w:lang w:val="en-US" w:eastAsia="zh-CN"/>
        </w:rPr>
      </w:pPr>
      <w:r>
        <w:rPr>
          <w:rFonts w:hint="eastAsia"/>
          <w:lang w:val="en-US" w:eastAsia="zh-CN"/>
        </w:rPr>
        <w:t>T</w:t>
      </w:r>
      <w:r>
        <w:rPr>
          <w:lang w:val="en-US" w:eastAsia="zh-CN"/>
        </w:rPr>
        <w:t xml:space="preserve">he link budget </w:t>
      </w:r>
      <w:r w:rsidRPr="002C54B1">
        <w:rPr>
          <w:lang w:val="en-US" w:eastAsia="zh-CN"/>
        </w:rPr>
        <w:t>remaining</w:t>
      </w:r>
      <w:r>
        <w:rPr>
          <w:lang w:val="en-US" w:eastAsia="zh-CN"/>
        </w:rPr>
        <w:t xml:space="preserve"> can be about 18.8dB for both two cases.</w:t>
      </w:r>
      <w:r>
        <w:rPr>
          <w:rFonts w:hint="eastAsia"/>
          <w:lang w:val="en-US" w:eastAsia="zh-CN"/>
        </w:rPr>
        <w:t xml:space="preserve"> </w:t>
      </w:r>
      <w:r w:rsidR="00927BCE">
        <w:rPr>
          <w:lang w:val="en-US" w:eastAsia="zh-CN"/>
        </w:rPr>
        <w:t>T</w:t>
      </w:r>
      <w:r>
        <w:rPr>
          <w:lang w:val="en-US" w:eastAsia="zh-CN"/>
        </w:rPr>
        <w:t xml:space="preserve">he power of side-lobes can be reduced </w:t>
      </w:r>
      <w:r w:rsidR="00927BCE">
        <w:rPr>
          <w:lang w:val="en-US" w:eastAsia="zh-CN"/>
        </w:rPr>
        <w:t xml:space="preserve">for the latter case comparing to the former case. Same as the </w:t>
      </w:r>
      <w:r w:rsidR="00C74BB5">
        <w:rPr>
          <w:lang w:val="en-US" w:eastAsia="zh-CN"/>
        </w:rPr>
        <w:t>reason analyzed</w:t>
      </w:r>
      <w:r w:rsidR="00927BCE">
        <w:rPr>
          <w:lang w:val="en-US" w:eastAsia="zh-CN"/>
        </w:rPr>
        <w:t xml:space="preserve"> </w:t>
      </w:r>
      <w:r w:rsidR="00C74BB5">
        <w:rPr>
          <w:lang w:val="en-US" w:eastAsia="zh-CN"/>
        </w:rPr>
        <w:t>in</w:t>
      </w:r>
      <w:r w:rsidR="00927BCE">
        <w:rPr>
          <w:lang w:val="en-US" w:eastAsia="zh-CN"/>
        </w:rPr>
        <w:t xml:space="preserve"> Uni-</w:t>
      </w:r>
      <w:r w:rsidR="00C74BB5">
        <w:rPr>
          <w:lang w:val="en-US" w:eastAsia="zh-CN"/>
        </w:rPr>
        <w:t>directional, better</w:t>
      </w:r>
      <w:r w:rsidR="00927BCE">
        <w:rPr>
          <w:lang w:val="en-US" w:eastAsia="zh-CN"/>
        </w:rPr>
        <w:t xml:space="preserve"> performance </w:t>
      </w:r>
      <w:r w:rsidR="00C74BB5">
        <w:rPr>
          <w:lang w:val="en-US" w:eastAsia="zh-CN"/>
        </w:rPr>
        <w:t xml:space="preserve">is expected for the latter case because of less </w:t>
      </w:r>
      <w:r w:rsidR="00927BCE">
        <w:rPr>
          <w:lang w:val="en-US" w:eastAsia="zh-CN"/>
        </w:rPr>
        <w:t>number of UE beam switch</w:t>
      </w:r>
      <w:r w:rsidR="00C74BB5">
        <w:rPr>
          <w:lang w:val="en-US" w:eastAsia="zh-CN"/>
        </w:rPr>
        <w:t>ing.</w:t>
      </w:r>
      <w:r w:rsidR="00C74BB5">
        <w:rPr>
          <w:rFonts w:hint="eastAsia"/>
          <w:lang w:val="en-US" w:eastAsia="zh-CN"/>
        </w:rPr>
        <w:t xml:space="preserve"> </w:t>
      </w:r>
      <w:r w:rsidR="00C74BB5">
        <w:rPr>
          <w:lang w:val="en-US" w:eastAsia="zh-CN"/>
        </w:rPr>
        <w:t>Therefore, we propose to use boresight parallel to the railway for Uni-directional deployment for Scenario A.</w:t>
      </w:r>
    </w:p>
    <w:p w:rsidR="00F54162" w:rsidRDefault="00C74BB5" w:rsidP="00C74BB5">
      <w:pPr>
        <w:pStyle w:val="Proposal"/>
      </w:pPr>
      <w:r>
        <w:t>U</w:t>
      </w:r>
      <w:r w:rsidRPr="00C74BB5">
        <w:t>se boresight parallel to the railway for Uni-directional deployment for Scenario A.</w:t>
      </w:r>
    </w:p>
    <w:p w:rsidR="00C74BB5" w:rsidRDefault="0028714D" w:rsidP="00496C1C">
      <w:pPr>
        <w:pStyle w:val="2"/>
        <w:rPr>
          <w:lang w:val="en-US" w:eastAsia="zh-CN"/>
        </w:rPr>
      </w:pPr>
      <w:r>
        <w:rPr>
          <w:lang w:val="en-US" w:eastAsia="zh-CN"/>
        </w:rPr>
        <w:t>Coverage</w:t>
      </w:r>
    </w:p>
    <w:p w:rsidR="00C74BB5" w:rsidRPr="00C41355" w:rsidRDefault="0028714D" w:rsidP="00C74BB5">
      <w:pPr>
        <w:rPr>
          <w:lang w:eastAsia="zh-CN"/>
        </w:rPr>
      </w:pPr>
      <w:r>
        <w:rPr>
          <w:lang w:val="en-US" w:eastAsia="zh-CN"/>
        </w:rPr>
        <w:t>For downlink, a</w:t>
      </w:r>
      <w:r w:rsidR="00C74BB5">
        <w:rPr>
          <w:lang w:val="en-US" w:eastAsia="zh-CN"/>
        </w:rPr>
        <w:t>s per Section 6.3.1 of TS 38.141-2, t</w:t>
      </w:r>
      <w:r w:rsidR="00C74BB5">
        <w:t xml:space="preserve">here is no upper limit for the </w:t>
      </w:r>
      <w:r w:rsidR="00C74BB5">
        <w:rPr>
          <w:i/>
          <w:lang w:eastAsia="zh-CN"/>
        </w:rPr>
        <w:t xml:space="preserve">rated carrier TRP </w:t>
      </w:r>
      <w:r w:rsidR="00C74BB5">
        <w:rPr>
          <w:lang w:eastAsia="zh-CN"/>
        </w:rPr>
        <w:t xml:space="preserve">of </w:t>
      </w:r>
      <w:r w:rsidR="00C74BB5">
        <w:rPr>
          <w:i/>
          <w:lang w:eastAsia="zh-CN"/>
        </w:rPr>
        <w:t>BS type 2-O</w:t>
      </w:r>
      <w:r w:rsidR="00C74BB5">
        <w:rPr>
          <w:lang w:eastAsia="zh-CN"/>
        </w:rPr>
        <w:t xml:space="preserve">. </w:t>
      </w:r>
      <w:r w:rsidR="00B82C50">
        <w:rPr>
          <w:lang w:eastAsia="zh-CN"/>
        </w:rPr>
        <w:t xml:space="preserve">We don’t think there is any coverage issue under </w:t>
      </w:r>
      <w:r w:rsidR="00B82C50">
        <w:rPr>
          <w:lang w:val="en-US" w:eastAsia="zh-CN"/>
        </w:rPr>
        <w:t>HST FR2 scenario</w:t>
      </w:r>
      <w:r>
        <w:rPr>
          <w:lang w:val="en-US" w:eastAsia="zh-CN"/>
        </w:rPr>
        <w:t xml:space="preserve"> for downlink</w:t>
      </w:r>
      <w:r w:rsidR="00C74BB5">
        <w:rPr>
          <w:lang w:eastAsia="zh-CN"/>
        </w:rPr>
        <w:t>.</w:t>
      </w:r>
    </w:p>
    <w:tbl>
      <w:tblPr>
        <w:tblStyle w:val="ae"/>
        <w:tblW w:w="0" w:type="auto"/>
        <w:tblLook w:val="04A0" w:firstRow="1" w:lastRow="0" w:firstColumn="1" w:lastColumn="0" w:noHBand="0" w:noVBand="1"/>
      </w:tblPr>
      <w:tblGrid>
        <w:gridCol w:w="10456"/>
      </w:tblGrid>
      <w:tr w:rsidR="00B82C50" w:rsidRPr="00B82C50" w:rsidTr="00B82C50">
        <w:tc>
          <w:tcPr>
            <w:tcW w:w="10456" w:type="dxa"/>
          </w:tcPr>
          <w:p w:rsidR="00B82C50" w:rsidRPr="00B82C50" w:rsidRDefault="00B82C50" w:rsidP="00B82C50">
            <w:pPr>
              <w:spacing w:after="0"/>
              <w:rPr>
                <w:i/>
                <w:lang w:eastAsia="ja-JP"/>
              </w:rPr>
            </w:pPr>
            <w:r w:rsidRPr="00B82C50">
              <w:rPr>
                <w:i/>
              </w:rPr>
              <w:lastRenderedPageBreak/>
              <w:t>The BS rated carrier TRP for BS type 1-O shall be within limits as specified in table 6.3.1-1.</w:t>
            </w:r>
          </w:p>
          <w:p w:rsidR="00B82C50" w:rsidRPr="00B82C50" w:rsidRDefault="00B82C50" w:rsidP="00B82C50">
            <w:pPr>
              <w:pStyle w:val="TH"/>
              <w:spacing w:after="0"/>
              <w:rPr>
                <w:i/>
              </w:rPr>
            </w:pPr>
            <w:r w:rsidRPr="00B82C50">
              <w:rPr>
                <w:i/>
              </w:rPr>
              <w:t>Table 6.3.1-1: BS rated carrier TRP limits for BS type 1-O</w:t>
            </w:r>
          </w:p>
          <w:tbl>
            <w:tblPr>
              <w:tblW w:w="0" w:type="auto"/>
              <w:jc w:val="center"/>
              <w:tblLook w:val="04A0" w:firstRow="1" w:lastRow="0" w:firstColumn="1" w:lastColumn="0" w:noHBand="0" w:noVBand="1"/>
            </w:tblPr>
            <w:tblGrid>
              <w:gridCol w:w="2069"/>
              <w:gridCol w:w="4581"/>
            </w:tblGrid>
            <w:tr w:rsidR="00B82C50" w:rsidRPr="00B82C50" w:rsidTr="00B82C50">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H"/>
                    <w:rPr>
                      <w:i/>
                    </w:rPr>
                  </w:pPr>
                  <w:r w:rsidRPr="00B82C50">
                    <w:rPr>
                      <w:i/>
                    </w:rPr>
                    <w:t>BS class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H"/>
                    <w:rPr>
                      <w:i/>
                    </w:rPr>
                  </w:pPr>
                  <w:r w:rsidRPr="00B82C50">
                    <w:rPr>
                      <w:i/>
                    </w:rPr>
                    <w:t>P</w:t>
                  </w:r>
                  <w:r w:rsidRPr="00B82C50">
                    <w:rPr>
                      <w:i/>
                      <w:vertAlign w:val="subscript"/>
                    </w:rPr>
                    <w:t>rated,c,TRP</w:t>
                  </w:r>
                </w:p>
              </w:tc>
            </w:tr>
            <w:tr w:rsidR="00B82C50" w:rsidRPr="00B82C50" w:rsidTr="00B82C50">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C"/>
                    <w:rPr>
                      <w:i/>
                    </w:rPr>
                  </w:pPr>
                  <w:r w:rsidRPr="00B82C50">
                    <w:rPr>
                      <w:i/>
                    </w:rPr>
                    <w:t>Wide Area BS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C"/>
                    <w:rPr>
                      <w:i/>
                    </w:rPr>
                  </w:pPr>
                  <w:r w:rsidRPr="00B82C50">
                    <w:rPr>
                      <w:i/>
                    </w:rPr>
                    <w:t>(note)</w:t>
                  </w:r>
                </w:p>
              </w:tc>
            </w:tr>
            <w:tr w:rsidR="00B82C50" w:rsidRPr="00B82C50" w:rsidTr="00B82C50">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C"/>
                    <w:rPr>
                      <w:i/>
                    </w:rPr>
                  </w:pPr>
                  <w:r w:rsidRPr="00B82C50">
                    <w:rPr>
                      <w:i/>
                    </w:rPr>
                    <w:t>Medium Range BS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C"/>
                    <w:rPr>
                      <w:i/>
                    </w:rPr>
                  </w:pPr>
                  <w:r w:rsidRPr="00B82C50">
                    <w:rPr>
                      <w:i/>
                    </w:rPr>
                    <w:t>≤ + 47 dBm</w:t>
                  </w:r>
                </w:p>
              </w:tc>
            </w:tr>
            <w:tr w:rsidR="00B82C50" w:rsidRPr="00B82C50" w:rsidTr="00B82C50">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C"/>
                    <w:rPr>
                      <w:i/>
                    </w:rPr>
                  </w:pPr>
                  <w:r w:rsidRPr="00B82C50">
                    <w:rPr>
                      <w:i/>
                    </w:rPr>
                    <w:t>Local Area BS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C"/>
                    <w:rPr>
                      <w:i/>
                    </w:rPr>
                  </w:pPr>
                  <w:r w:rsidRPr="00B82C50">
                    <w:rPr>
                      <w:i/>
                    </w:rPr>
                    <w:t>≤ + 33 dBm</w:t>
                  </w:r>
                </w:p>
              </w:tc>
            </w:tr>
            <w:tr w:rsidR="00B82C50" w:rsidRPr="00B82C50" w:rsidTr="00B82C50">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B82C50" w:rsidRPr="00B82C50" w:rsidRDefault="00B82C50" w:rsidP="00B82C50">
                  <w:pPr>
                    <w:pStyle w:val="TAN"/>
                    <w:rPr>
                      <w:i/>
                    </w:rPr>
                  </w:pPr>
                  <w:r w:rsidRPr="00B82C50">
                    <w:rPr>
                      <w:i/>
                    </w:rPr>
                    <w:t>NOTE:</w:t>
                  </w:r>
                  <w:r w:rsidRPr="00B82C50">
                    <w:rPr>
                      <w:i/>
                    </w:rPr>
                    <w:tab/>
                    <w:t xml:space="preserve">There is no upper limit for the </w:t>
                  </w:r>
                  <w:r w:rsidRPr="00B82C50">
                    <w:rPr>
                      <w:bCs/>
                      <w:i/>
                    </w:rPr>
                    <w:t>P</w:t>
                  </w:r>
                  <w:r w:rsidRPr="00B82C50">
                    <w:rPr>
                      <w:bCs/>
                      <w:i/>
                      <w:vertAlign w:val="subscript"/>
                    </w:rPr>
                    <w:t>rated,c,TRP</w:t>
                  </w:r>
                  <w:r w:rsidRPr="00B82C50">
                    <w:rPr>
                      <w:i/>
                    </w:rPr>
                    <w:t xml:space="preserve"> of the Wide Area Base Station.</w:t>
                  </w:r>
                </w:p>
              </w:tc>
            </w:tr>
          </w:tbl>
          <w:p w:rsidR="00B82C50" w:rsidRPr="00B82C50" w:rsidRDefault="00B82C50" w:rsidP="00B82C50">
            <w:pPr>
              <w:spacing w:after="0"/>
              <w:rPr>
                <w:rFonts w:eastAsiaTheme="minorEastAsia"/>
                <w:i/>
                <w:color w:val="000000"/>
                <w:lang w:eastAsia="zh-CN"/>
              </w:rPr>
            </w:pPr>
          </w:p>
          <w:p w:rsidR="00B82C50" w:rsidRPr="00B82C50" w:rsidRDefault="00B82C50" w:rsidP="00B82C50">
            <w:pPr>
              <w:spacing w:after="0"/>
              <w:rPr>
                <w:i/>
                <w:lang w:eastAsia="zh-CN"/>
              </w:rPr>
            </w:pPr>
            <w:r w:rsidRPr="00B82C50">
              <w:rPr>
                <w:i/>
                <w:highlight w:val="yellow"/>
              </w:rPr>
              <w:t xml:space="preserve">There is no upper limit for the </w:t>
            </w:r>
            <w:r w:rsidRPr="00B82C50">
              <w:rPr>
                <w:i/>
                <w:highlight w:val="yellow"/>
                <w:lang w:eastAsia="zh-CN"/>
              </w:rPr>
              <w:t>rated carrier TRP of BS type 2-O.</w:t>
            </w:r>
          </w:p>
        </w:tc>
      </w:tr>
    </w:tbl>
    <w:p w:rsidR="00C74BB5" w:rsidRPr="00B82C50" w:rsidRDefault="00C74BB5" w:rsidP="00C74BB5">
      <w:pPr>
        <w:rPr>
          <w:lang w:eastAsia="zh-CN"/>
        </w:rPr>
      </w:pPr>
    </w:p>
    <w:p w:rsidR="0028714D" w:rsidRDefault="0028714D" w:rsidP="0028714D">
      <w:pPr>
        <w:rPr>
          <w:lang w:eastAsia="zh-CN"/>
        </w:rPr>
      </w:pPr>
      <w:r>
        <w:rPr>
          <w:rFonts w:hint="eastAsia"/>
          <w:lang w:eastAsia="zh-CN"/>
        </w:rPr>
        <w:t>F</w:t>
      </w:r>
      <w:r>
        <w:rPr>
          <w:lang w:eastAsia="zh-CN"/>
        </w:rPr>
        <w:t xml:space="preserve">or uplink, </w:t>
      </w:r>
      <w:r w:rsidR="0058776D">
        <w:t>UE maximum output power limits</w:t>
      </w:r>
      <w:r w:rsidR="0058776D">
        <w:rPr>
          <w:lang w:eastAsia="zh-CN"/>
        </w:rPr>
        <w:t xml:space="preserve"> for </w:t>
      </w:r>
      <w:r>
        <w:rPr>
          <w:lang w:eastAsia="zh-CN"/>
        </w:rPr>
        <w:t xml:space="preserve">PC4 </w:t>
      </w:r>
      <w:r w:rsidR="0058776D">
        <w:rPr>
          <w:lang w:eastAsia="zh-CN"/>
        </w:rPr>
        <w:t>is derived from TS 38.101-2 as following Table 2.3-1 shows. M</w:t>
      </w:r>
      <w:r>
        <w:rPr>
          <w:lang w:eastAsia="zh-CN"/>
        </w:rPr>
        <w:t xml:space="preserve">aximum EIRP can be 43dBm at the </w:t>
      </w:r>
      <w:r w:rsidR="0058776D">
        <w:rPr>
          <w:lang w:eastAsia="zh-CN"/>
        </w:rPr>
        <w:t>candidate</w:t>
      </w:r>
      <w:r>
        <w:rPr>
          <w:lang w:eastAsia="zh-CN"/>
        </w:rPr>
        <w:t xml:space="preserve"> </w:t>
      </w:r>
      <w:r w:rsidR="0058776D">
        <w:rPr>
          <w:lang w:eastAsia="zh-CN"/>
        </w:rPr>
        <w:t xml:space="preserve">operating band, so the gap between RRH Tx power assumed in downlink budget and the maximum PC4 UE Tx power is 4dB. As per analysis in above clauses, the link budget remaining can be </w:t>
      </w:r>
      <w:r w:rsidR="0058776D">
        <w:rPr>
          <w:lang w:val="en-US" w:eastAsia="zh-CN"/>
        </w:rPr>
        <w:t xml:space="preserve">14.8dB for Uni-directional deployment for Scenario A for uplink </w:t>
      </w:r>
      <w:r w:rsidR="0058776D">
        <w:rPr>
          <w:lang w:eastAsia="zh-CN"/>
        </w:rPr>
        <w:t>that is sufficient.</w:t>
      </w:r>
    </w:p>
    <w:p w:rsidR="0028714D" w:rsidRDefault="0028714D" w:rsidP="0028714D">
      <w:pPr>
        <w:pStyle w:val="TH"/>
        <w:rPr>
          <w:lang w:val="en-GB"/>
        </w:rPr>
      </w:pPr>
      <w:r>
        <w:t xml:space="preserve">Table </w:t>
      </w:r>
      <w:r w:rsidR="0058776D">
        <w:t>2.3-1</w:t>
      </w:r>
      <w:r>
        <w:t>: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8714D" w:rsidTr="0028714D">
        <w:trPr>
          <w:trHeight w:val="187"/>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H"/>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rsidR="0028714D" w:rsidRDefault="0028714D" w:rsidP="0058776D">
            <w:pPr>
              <w:pStyle w:val="TAH"/>
            </w:pPr>
            <w:r>
              <w:t>Max EIRP (dBm)</w:t>
            </w:r>
          </w:p>
        </w:tc>
      </w:tr>
      <w:tr w:rsidR="0028714D" w:rsidTr="0028714D">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28714D" w:rsidRDefault="0028714D" w:rsidP="0058776D">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43</w:t>
            </w:r>
          </w:p>
        </w:tc>
      </w:tr>
      <w:tr w:rsidR="0028714D" w:rsidTr="0028714D">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28714D" w:rsidRDefault="0028714D" w:rsidP="0058776D">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43</w:t>
            </w:r>
          </w:p>
        </w:tc>
      </w:tr>
      <w:tr w:rsidR="0028714D" w:rsidTr="0028714D">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28714D" w:rsidRDefault="0028714D" w:rsidP="0058776D">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43</w:t>
            </w:r>
          </w:p>
        </w:tc>
      </w:tr>
      <w:tr w:rsidR="0028714D" w:rsidTr="0028714D">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28714D" w:rsidRDefault="0028714D" w:rsidP="0058776D">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28714D" w:rsidRDefault="0028714D" w:rsidP="0058776D">
            <w:pPr>
              <w:pStyle w:val="TAC"/>
            </w:pPr>
            <w:r>
              <w:t>43</w:t>
            </w:r>
          </w:p>
        </w:tc>
      </w:tr>
    </w:tbl>
    <w:p w:rsidR="0028714D" w:rsidRDefault="0028714D" w:rsidP="0028714D">
      <w:pPr>
        <w:rPr>
          <w:lang w:eastAsia="zh-CN"/>
        </w:rPr>
      </w:pPr>
    </w:p>
    <w:p w:rsidR="0058776D" w:rsidRPr="0058776D" w:rsidRDefault="0058776D" w:rsidP="0028714D">
      <w:pPr>
        <w:pStyle w:val="Observation"/>
      </w:pPr>
      <w:r>
        <w:rPr>
          <w:rFonts w:hint="eastAsia"/>
        </w:rPr>
        <w:t>T</w:t>
      </w:r>
      <w:r>
        <w:t xml:space="preserve">here is no any </w:t>
      </w:r>
      <w:r w:rsidRPr="00B82C50">
        <w:t xml:space="preserve">coverage issue under HST FR2 </w:t>
      </w:r>
      <w:r w:rsidR="00791B6E">
        <w:t>S</w:t>
      </w:r>
      <w:r w:rsidRPr="00B82C50">
        <w:t>cenario</w:t>
      </w:r>
      <w:r>
        <w:t xml:space="preserve"> </w:t>
      </w:r>
      <w:r w:rsidR="00791B6E">
        <w:t xml:space="preserve">A </w:t>
      </w:r>
      <w:r>
        <w:t>assuming PC4 for both uplink and downlink</w:t>
      </w:r>
      <w:r w:rsidRPr="00B82C50">
        <w: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0011360B" w:rsidRPr="0011360B">
        <w:rPr>
          <w:lang w:val="en-US" w:eastAsia="zh-CN"/>
        </w:rPr>
        <w:t>NR FR2 HST deployment Scenario-A</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58776D" w:rsidRPr="0058776D" w:rsidRDefault="0058776D" w:rsidP="0058776D">
      <w:pPr>
        <w:pStyle w:val="Observation"/>
        <w:numPr>
          <w:ilvl w:val="0"/>
          <w:numId w:val="20"/>
        </w:numPr>
      </w:pPr>
      <w:r>
        <w:rPr>
          <w:rFonts w:hint="eastAsia"/>
        </w:rPr>
        <w:t>T</w:t>
      </w:r>
      <w:r>
        <w:t xml:space="preserve">here is no any </w:t>
      </w:r>
      <w:r w:rsidRPr="00B82C50">
        <w:t>coverage issue under HST FR2 scenario</w:t>
      </w:r>
      <w:r>
        <w:t xml:space="preserve"> assuming PC4 for both uplink and downlink</w:t>
      </w:r>
      <w:r w:rsidRPr="00B82C50">
        <w:t>.</w:t>
      </w:r>
    </w:p>
    <w:p w:rsidR="0058776D" w:rsidRDefault="0058776D" w:rsidP="0058776D">
      <w:pPr>
        <w:pStyle w:val="Proposal"/>
        <w:numPr>
          <w:ilvl w:val="0"/>
          <w:numId w:val="21"/>
        </w:numPr>
      </w:pPr>
      <w:r>
        <w:t>Not consider Bi-directional deployment for Scenario A (700m/10m).</w:t>
      </w:r>
    </w:p>
    <w:p w:rsidR="0058776D" w:rsidRDefault="0058776D" w:rsidP="0058776D">
      <w:pPr>
        <w:pStyle w:val="Proposal"/>
      </w:pPr>
      <w:r>
        <w:t>U</w:t>
      </w:r>
      <w:r w:rsidRPr="00C74BB5">
        <w:t>se boresight parallel to the railway for Uni-directional deployment for Scenario A.</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11360B" w:rsidRDefault="0011360B" w:rsidP="0011360B">
      <w:pPr>
        <w:pStyle w:val="Reference"/>
        <w:ind w:left="400" w:hanging="400"/>
        <w:rPr>
          <w:lang w:val="en-US" w:eastAsia="zh-CN"/>
        </w:rPr>
      </w:pPr>
      <w:bookmarkStart w:id="0" w:name="_Ref66697736"/>
      <w:r>
        <w:rPr>
          <w:lang w:val="en-US" w:eastAsia="zh-CN"/>
        </w:rPr>
        <w:t xml:space="preserve">R4-2103240, </w:t>
      </w:r>
      <w:r w:rsidRPr="00EB39E4">
        <w:rPr>
          <w:lang w:val="en-US" w:eastAsia="zh-CN"/>
        </w:rPr>
        <w:t>Way forward on Deployment Scenario and UE RF Requirement for FR2 HST</w:t>
      </w:r>
      <w:r>
        <w:rPr>
          <w:lang w:val="en-US" w:eastAsia="zh-CN"/>
        </w:rPr>
        <w:t>, RAN4#98-e, Samsung</w:t>
      </w:r>
      <w:bookmarkEnd w:id="0"/>
    </w:p>
    <w:p w:rsidR="00496C1C" w:rsidRDefault="00496C1C" w:rsidP="00AC00B7">
      <w:pPr>
        <w:pStyle w:val="Reference"/>
        <w:ind w:left="400" w:hanging="400"/>
        <w:rPr>
          <w:lang w:val="en-US" w:eastAsia="zh-CN"/>
        </w:rPr>
      </w:pPr>
      <w:bookmarkStart w:id="1" w:name="_Ref68192528"/>
      <w:r>
        <w:rPr>
          <w:lang w:val="en-US" w:eastAsia="zh-CN"/>
        </w:rPr>
        <w:t>R</w:t>
      </w:r>
      <w:bookmarkEnd w:id="1"/>
      <w:r w:rsidR="00AD1FED">
        <w:rPr>
          <w:lang w:val="en-US" w:eastAsia="zh-CN"/>
        </w:rPr>
        <w:t>4-21</w:t>
      </w:r>
      <w:r w:rsidR="00AC00B7">
        <w:rPr>
          <w:lang w:val="en-US" w:eastAsia="zh-CN"/>
        </w:rPr>
        <w:t>06825</w:t>
      </w:r>
      <w:bookmarkStart w:id="2" w:name="_GoBack"/>
      <w:bookmarkEnd w:id="2"/>
      <w:r w:rsidR="00AD1FED">
        <w:rPr>
          <w:lang w:val="en-US" w:eastAsia="zh-CN"/>
        </w:rPr>
        <w:t xml:space="preserve">, </w:t>
      </w:r>
      <w:r w:rsidR="00AC00B7" w:rsidRPr="00AC00B7">
        <w:rPr>
          <w:lang w:val="en-US" w:eastAsia="zh-CN"/>
        </w:rPr>
        <w:t>Discussion on general issues for NR FR2 HST deployment scenario</w:t>
      </w:r>
      <w:r w:rsidR="00AD1FED">
        <w:rPr>
          <w:lang w:val="en-US" w:eastAsia="zh-CN"/>
        </w:rPr>
        <w:t xml:space="preserve">, RAN4#98-bis-e, </w:t>
      </w:r>
      <w:r w:rsidR="00AD1FED" w:rsidRPr="00AD1FED">
        <w:rPr>
          <w:lang w:val="en-US" w:eastAsia="zh-CN"/>
        </w:rPr>
        <w:t>Huawei, HiSilicon</w:t>
      </w:r>
    </w:p>
    <w:p w:rsidR="009163A1" w:rsidRPr="003A518C" w:rsidRDefault="009163A1" w:rsidP="003A518C"/>
    <w:sectPr w:rsidR="009163A1" w:rsidRPr="003A518C"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698" w:rsidRDefault="00886698" w:rsidP="009163A1">
      <w:pPr>
        <w:spacing w:after="0"/>
      </w:pPr>
      <w:r>
        <w:separator/>
      </w:r>
    </w:p>
  </w:endnote>
  <w:endnote w:type="continuationSeparator" w:id="0">
    <w:p w:rsidR="00886698" w:rsidRDefault="0088669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698" w:rsidRDefault="00886698" w:rsidP="009163A1">
      <w:pPr>
        <w:spacing w:after="0"/>
      </w:pPr>
      <w:r>
        <w:separator/>
      </w:r>
    </w:p>
  </w:footnote>
  <w:footnote w:type="continuationSeparator" w:id="0">
    <w:p w:rsidR="00886698" w:rsidRDefault="00886698"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C04559"/>
    <w:multiLevelType w:val="hybridMultilevel"/>
    <w:tmpl w:val="3104C3D4"/>
    <w:lvl w:ilvl="0" w:tplc="3724BD70">
      <w:start w:val="1"/>
      <w:numFmt w:val="bullet"/>
      <w:lvlText w:val="•"/>
      <w:lvlJc w:val="left"/>
      <w:pPr>
        <w:tabs>
          <w:tab w:val="num" w:pos="360"/>
        </w:tabs>
        <w:ind w:left="360" w:hanging="360"/>
      </w:pPr>
      <w:rPr>
        <w:rFonts w:ascii="Arial" w:hAnsi="Arial" w:hint="default"/>
      </w:rPr>
    </w:lvl>
    <w:lvl w:ilvl="1" w:tplc="086458D2">
      <w:start w:val="1"/>
      <w:numFmt w:val="bullet"/>
      <w:lvlText w:val="•"/>
      <w:lvlJc w:val="left"/>
      <w:pPr>
        <w:tabs>
          <w:tab w:val="num" w:pos="1080"/>
        </w:tabs>
        <w:ind w:left="1080" w:hanging="360"/>
      </w:pPr>
      <w:rPr>
        <w:rFonts w:ascii="Arial" w:hAnsi="Arial" w:hint="default"/>
      </w:rPr>
    </w:lvl>
    <w:lvl w:ilvl="2" w:tplc="C53E7ABC">
      <w:numFmt w:val="bullet"/>
      <w:lvlText w:val="•"/>
      <w:lvlJc w:val="left"/>
      <w:pPr>
        <w:tabs>
          <w:tab w:val="num" w:pos="1800"/>
        </w:tabs>
        <w:ind w:left="1800" w:hanging="360"/>
      </w:pPr>
      <w:rPr>
        <w:rFonts w:ascii="Arial" w:hAnsi="Arial" w:hint="default"/>
      </w:rPr>
    </w:lvl>
    <w:lvl w:ilvl="3" w:tplc="0DFE03B4" w:tentative="1">
      <w:start w:val="1"/>
      <w:numFmt w:val="bullet"/>
      <w:lvlText w:val="•"/>
      <w:lvlJc w:val="left"/>
      <w:pPr>
        <w:tabs>
          <w:tab w:val="num" w:pos="2520"/>
        </w:tabs>
        <w:ind w:left="2520" w:hanging="360"/>
      </w:pPr>
      <w:rPr>
        <w:rFonts w:ascii="Arial" w:hAnsi="Arial" w:hint="default"/>
      </w:rPr>
    </w:lvl>
    <w:lvl w:ilvl="4" w:tplc="6730F336" w:tentative="1">
      <w:start w:val="1"/>
      <w:numFmt w:val="bullet"/>
      <w:lvlText w:val="•"/>
      <w:lvlJc w:val="left"/>
      <w:pPr>
        <w:tabs>
          <w:tab w:val="num" w:pos="3240"/>
        </w:tabs>
        <w:ind w:left="3240" w:hanging="360"/>
      </w:pPr>
      <w:rPr>
        <w:rFonts w:ascii="Arial" w:hAnsi="Arial" w:hint="default"/>
      </w:rPr>
    </w:lvl>
    <w:lvl w:ilvl="5" w:tplc="DE8C449E" w:tentative="1">
      <w:start w:val="1"/>
      <w:numFmt w:val="bullet"/>
      <w:lvlText w:val="•"/>
      <w:lvlJc w:val="left"/>
      <w:pPr>
        <w:tabs>
          <w:tab w:val="num" w:pos="3960"/>
        </w:tabs>
        <w:ind w:left="3960" w:hanging="360"/>
      </w:pPr>
      <w:rPr>
        <w:rFonts w:ascii="Arial" w:hAnsi="Arial" w:hint="default"/>
      </w:rPr>
    </w:lvl>
    <w:lvl w:ilvl="6" w:tplc="F6AA8C98" w:tentative="1">
      <w:start w:val="1"/>
      <w:numFmt w:val="bullet"/>
      <w:lvlText w:val="•"/>
      <w:lvlJc w:val="left"/>
      <w:pPr>
        <w:tabs>
          <w:tab w:val="num" w:pos="4680"/>
        </w:tabs>
        <w:ind w:left="4680" w:hanging="360"/>
      </w:pPr>
      <w:rPr>
        <w:rFonts w:ascii="Arial" w:hAnsi="Arial" w:hint="default"/>
      </w:rPr>
    </w:lvl>
    <w:lvl w:ilvl="7" w:tplc="32880566" w:tentative="1">
      <w:start w:val="1"/>
      <w:numFmt w:val="bullet"/>
      <w:lvlText w:val="•"/>
      <w:lvlJc w:val="left"/>
      <w:pPr>
        <w:tabs>
          <w:tab w:val="num" w:pos="5400"/>
        </w:tabs>
        <w:ind w:left="5400" w:hanging="360"/>
      </w:pPr>
      <w:rPr>
        <w:rFonts w:ascii="Arial" w:hAnsi="Arial" w:hint="default"/>
      </w:rPr>
    </w:lvl>
    <w:lvl w:ilvl="8" w:tplc="724C55D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DA7AA7"/>
    <w:multiLevelType w:val="hybridMultilevel"/>
    <w:tmpl w:val="820EFCB8"/>
    <w:lvl w:ilvl="0" w:tplc="14044DBC">
      <w:start w:val="18"/>
      <w:numFmt w:val="bullet"/>
      <w:lvlText w:val="-"/>
      <w:lvlJc w:val="left"/>
      <w:pPr>
        <w:ind w:left="360" w:hanging="360"/>
      </w:pPr>
      <w:rPr>
        <w:rFonts w:ascii="CG Times (WN)" w:eastAsia="宋体"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1EC08C0"/>
    <w:multiLevelType w:val="hybridMultilevel"/>
    <w:tmpl w:val="B1245CBA"/>
    <w:lvl w:ilvl="0" w:tplc="BCF6DC94">
      <w:start w:val="1"/>
      <w:numFmt w:val="bullet"/>
      <w:lvlText w:val="•"/>
      <w:lvlJc w:val="left"/>
      <w:pPr>
        <w:tabs>
          <w:tab w:val="num" w:pos="720"/>
        </w:tabs>
        <w:ind w:left="720" w:hanging="360"/>
      </w:pPr>
      <w:rPr>
        <w:rFonts w:ascii="Arial" w:hAnsi="Arial" w:hint="default"/>
      </w:rPr>
    </w:lvl>
    <w:lvl w:ilvl="1" w:tplc="CA385DFC">
      <w:start w:val="1"/>
      <w:numFmt w:val="bullet"/>
      <w:lvlText w:val="•"/>
      <w:lvlJc w:val="left"/>
      <w:pPr>
        <w:tabs>
          <w:tab w:val="num" w:pos="1440"/>
        </w:tabs>
        <w:ind w:left="1440" w:hanging="360"/>
      </w:pPr>
      <w:rPr>
        <w:rFonts w:ascii="Arial" w:hAnsi="Arial" w:hint="default"/>
      </w:rPr>
    </w:lvl>
    <w:lvl w:ilvl="2" w:tplc="FAC4CAF2">
      <w:numFmt w:val="bullet"/>
      <w:lvlText w:val="•"/>
      <w:lvlJc w:val="left"/>
      <w:pPr>
        <w:tabs>
          <w:tab w:val="num" w:pos="2160"/>
        </w:tabs>
        <w:ind w:left="2160" w:hanging="360"/>
      </w:pPr>
      <w:rPr>
        <w:rFonts w:ascii="Arial" w:hAnsi="Arial" w:hint="default"/>
      </w:rPr>
    </w:lvl>
    <w:lvl w:ilvl="3" w:tplc="35EC2146" w:tentative="1">
      <w:start w:val="1"/>
      <w:numFmt w:val="bullet"/>
      <w:lvlText w:val="•"/>
      <w:lvlJc w:val="left"/>
      <w:pPr>
        <w:tabs>
          <w:tab w:val="num" w:pos="2880"/>
        </w:tabs>
        <w:ind w:left="2880" w:hanging="360"/>
      </w:pPr>
      <w:rPr>
        <w:rFonts w:ascii="Arial" w:hAnsi="Arial" w:hint="default"/>
      </w:rPr>
    </w:lvl>
    <w:lvl w:ilvl="4" w:tplc="CE623C70" w:tentative="1">
      <w:start w:val="1"/>
      <w:numFmt w:val="bullet"/>
      <w:lvlText w:val="•"/>
      <w:lvlJc w:val="left"/>
      <w:pPr>
        <w:tabs>
          <w:tab w:val="num" w:pos="3600"/>
        </w:tabs>
        <w:ind w:left="3600" w:hanging="360"/>
      </w:pPr>
      <w:rPr>
        <w:rFonts w:ascii="Arial" w:hAnsi="Arial" w:hint="default"/>
      </w:rPr>
    </w:lvl>
    <w:lvl w:ilvl="5" w:tplc="FFA0277E" w:tentative="1">
      <w:start w:val="1"/>
      <w:numFmt w:val="bullet"/>
      <w:lvlText w:val="•"/>
      <w:lvlJc w:val="left"/>
      <w:pPr>
        <w:tabs>
          <w:tab w:val="num" w:pos="4320"/>
        </w:tabs>
        <w:ind w:left="4320" w:hanging="360"/>
      </w:pPr>
      <w:rPr>
        <w:rFonts w:ascii="Arial" w:hAnsi="Arial" w:hint="default"/>
      </w:rPr>
    </w:lvl>
    <w:lvl w:ilvl="6" w:tplc="6DE8B4B2" w:tentative="1">
      <w:start w:val="1"/>
      <w:numFmt w:val="bullet"/>
      <w:lvlText w:val="•"/>
      <w:lvlJc w:val="left"/>
      <w:pPr>
        <w:tabs>
          <w:tab w:val="num" w:pos="5040"/>
        </w:tabs>
        <w:ind w:left="5040" w:hanging="360"/>
      </w:pPr>
      <w:rPr>
        <w:rFonts w:ascii="Arial" w:hAnsi="Arial" w:hint="default"/>
      </w:rPr>
    </w:lvl>
    <w:lvl w:ilvl="7" w:tplc="C010C4A2" w:tentative="1">
      <w:start w:val="1"/>
      <w:numFmt w:val="bullet"/>
      <w:lvlText w:val="•"/>
      <w:lvlJc w:val="left"/>
      <w:pPr>
        <w:tabs>
          <w:tab w:val="num" w:pos="5760"/>
        </w:tabs>
        <w:ind w:left="5760" w:hanging="360"/>
      </w:pPr>
      <w:rPr>
        <w:rFonts w:ascii="Arial" w:hAnsi="Arial" w:hint="default"/>
      </w:rPr>
    </w:lvl>
    <w:lvl w:ilvl="8" w:tplc="33AA4E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C92330"/>
    <w:multiLevelType w:val="hybridMultilevel"/>
    <w:tmpl w:val="67208E96"/>
    <w:lvl w:ilvl="0" w:tplc="A88A2B34">
      <w:start w:val="1"/>
      <w:numFmt w:val="bullet"/>
      <w:lvlText w:val="•"/>
      <w:lvlJc w:val="left"/>
      <w:pPr>
        <w:tabs>
          <w:tab w:val="num" w:pos="720"/>
        </w:tabs>
        <w:ind w:left="720" w:hanging="360"/>
      </w:pPr>
      <w:rPr>
        <w:rFonts w:ascii="Arial" w:hAnsi="Arial" w:hint="default"/>
      </w:rPr>
    </w:lvl>
    <w:lvl w:ilvl="1" w:tplc="BE24F0C2">
      <w:numFmt w:val="bullet"/>
      <w:lvlText w:val="•"/>
      <w:lvlJc w:val="left"/>
      <w:pPr>
        <w:tabs>
          <w:tab w:val="num" w:pos="1440"/>
        </w:tabs>
        <w:ind w:left="1440" w:hanging="360"/>
      </w:pPr>
      <w:rPr>
        <w:rFonts w:ascii="Arial" w:hAnsi="Arial" w:hint="default"/>
      </w:rPr>
    </w:lvl>
    <w:lvl w:ilvl="2" w:tplc="C1F8E4A4">
      <w:numFmt w:val="bullet"/>
      <w:lvlText w:val="•"/>
      <w:lvlJc w:val="left"/>
      <w:pPr>
        <w:tabs>
          <w:tab w:val="num" w:pos="2160"/>
        </w:tabs>
        <w:ind w:left="2160" w:hanging="360"/>
      </w:pPr>
      <w:rPr>
        <w:rFonts w:ascii="Arial" w:hAnsi="Arial" w:hint="default"/>
      </w:rPr>
    </w:lvl>
    <w:lvl w:ilvl="3" w:tplc="26B2E0D4" w:tentative="1">
      <w:start w:val="1"/>
      <w:numFmt w:val="bullet"/>
      <w:lvlText w:val="•"/>
      <w:lvlJc w:val="left"/>
      <w:pPr>
        <w:tabs>
          <w:tab w:val="num" w:pos="2880"/>
        </w:tabs>
        <w:ind w:left="2880" w:hanging="360"/>
      </w:pPr>
      <w:rPr>
        <w:rFonts w:ascii="Arial" w:hAnsi="Arial" w:hint="default"/>
      </w:rPr>
    </w:lvl>
    <w:lvl w:ilvl="4" w:tplc="D9CCE550" w:tentative="1">
      <w:start w:val="1"/>
      <w:numFmt w:val="bullet"/>
      <w:lvlText w:val="•"/>
      <w:lvlJc w:val="left"/>
      <w:pPr>
        <w:tabs>
          <w:tab w:val="num" w:pos="3600"/>
        </w:tabs>
        <w:ind w:left="3600" w:hanging="360"/>
      </w:pPr>
      <w:rPr>
        <w:rFonts w:ascii="Arial" w:hAnsi="Arial" w:hint="default"/>
      </w:rPr>
    </w:lvl>
    <w:lvl w:ilvl="5" w:tplc="B8BA60BE" w:tentative="1">
      <w:start w:val="1"/>
      <w:numFmt w:val="bullet"/>
      <w:lvlText w:val="•"/>
      <w:lvlJc w:val="left"/>
      <w:pPr>
        <w:tabs>
          <w:tab w:val="num" w:pos="4320"/>
        </w:tabs>
        <w:ind w:left="4320" w:hanging="360"/>
      </w:pPr>
      <w:rPr>
        <w:rFonts w:ascii="Arial" w:hAnsi="Arial" w:hint="default"/>
      </w:rPr>
    </w:lvl>
    <w:lvl w:ilvl="6" w:tplc="F6C8E0D4" w:tentative="1">
      <w:start w:val="1"/>
      <w:numFmt w:val="bullet"/>
      <w:lvlText w:val="•"/>
      <w:lvlJc w:val="left"/>
      <w:pPr>
        <w:tabs>
          <w:tab w:val="num" w:pos="5040"/>
        </w:tabs>
        <w:ind w:left="5040" w:hanging="360"/>
      </w:pPr>
      <w:rPr>
        <w:rFonts w:ascii="Arial" w:hAnsi="Arial" w:hint="default"/>
      </w:rPr>
    </w:lvl>
    <w:lvl w:ilvl="7" w:tplc="E8524E38" w:tentative="1">
      <w:start w:val="1"/>
      <w:numFmt w:val="bullet"/>
      <w:lvlText w:val="•"/>
      <w:lvlJc w:val="left"/>
      <w:pPr>
        <w:tabs>
          <w:tab w:val="num" w:pos="5760"/>
        </w:tabs>
        <w:ind w:left="5760" w:hanging="360"/>
      </w:pPr>
      <w:rPr>
        <w:rFonts w:ascii="Arial" w:hAnsi="Arial" w:hint="default"/>
      </w:rPr>
    </w:lvl>
    <w:lvl w:ilvl="8" w:tplc="4CA827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8564A59"/>
    <w:multiLevelType w:val="hybridMultilevel"/>
    <w:tmpl w:val="E6B8E1DC"/>
    <w:lvl w:ilvl="0" w:tplc="4A2AAA4E">
      <w:start w:val="1"/>
      <w:numFmt w:val="bullet"/>
      <w:lvlText w:val="•"/>
      <w:lvlJc w:val="left"/>
      <w:pPr>
        <w:tabs>
          <w:tab w:val="num" w:pos="720"/>
        </w:tabs>
        <w:ind w:left="720" w:hanging="360"/>
      </w:pPr>
      <w:rPr>
        <w:rFonts w:ascii="Arial" w:hAnsi="Arial" w:hint="default"/>
      </w:rPr>
    </w:lvl>
    <w:lvl w:ilvl="1" w:tplc="0FB61796">
      <w:numFmt w:val="bullet"/>
      <w:lvlText w:val="•"/>
      <w:lvlJc w:val="left"/>
      <w:pPr>
        <w:tabs>
          <w:tab w:val="num" w:pos="1440"/>
        </w:tabs>
        <w:ind w:left="1440" w:hanging="360"/>
      </w:pPr>
      <w:rPr>
        <w:rFonts w:ascii="Arial" w:hAnsi="Arial" w:hint="default"/>
      </w:rPr>
    </w:lvl>
    <w:lvl w:ilvl="2" w:tplc="2A1A80BC" w:tentative="1">
      <w:start w:val="1"/>
      <w:numFmt w:val="bullet"/>
      <w:lvlText w:val="•"/>
      <w:lvlJc w:val="left"/>
      <w:pPr>
        <w:tabs>
          <w:tab w:val="num" w:pos="2160"/>
        </w:tabs>
        <w:ind w:left="2160" w:hanging="360"/>
      </w:pPr>
      <w:rPr>
        <w:rFonts w:ascii="Arial" w:hAnsi="Arial" w:hint="default"/>
      </w:rPr>
    </w:lvl>
    <w:lvl w:ilvl="3" w:tplc="3D44EAC4" w:tentative="1">
      <w:start w:val="1"/>
      <w:numFmt w:val="bullet"/>
      <w:lvlText w:val="•"/>
      <w:lvlJc w:val="left"/>
      <w:pPr>
        <w:tabs>
          <w:tab w:val="num" w:pos="2880"/>
        </w:tabs>
        <w:ind w:left="2880" w:hanging="360"/>
      </w:pPr>
      <w:rPr>
        <w:rFonts w:ascii="Arial" w:hAnsi="Arial" w:hint="default"/>
      </w:rPr>
    </w:lvl>
    <w:lvl w:ilvl="4" w:tplc="1520B75C" w:tentative="1">
      <w:start w:val="1"/>
      <w:numFmt w:val="bullet"/>
      <w:lvlText w:val="•"/>
      <w:lvlJc w:val="left"/>
      <w:pPr>
        <w:tabs>
          <w:tab w:val="num" w:pos="3600"/>
        </w:tabs>
        <w:ind w:left="3600" w:hanging="360"/>
      </w:pPr>
      <w:rPr>
        <w:rFonts w:ascii="Arial" w:hAnsi="Arial" w:hint="default"/>
      </w:rPr>
    </w:lvl>
    <w:lvl w:ilvl="5" w:tplc="BD329784" w:tentative="1">
      <w:start w:val="1"/>
      <w:numFmt w:val="bullet"/>
      <w:lvlText w:val="•"/>
      <w:lvlJc w:val="left"/>
      <w:pPr>
        <w:tabs>
          <w:tab w:val="num" w:pos="4320"/>
        </w:tabs>
        <w:ind w:left="4320" w:hanging="360"/>
      </w:pPr>
      <w:rPr>
        <w:rFonts w:ascii="Arial" w:hAnsi="Arial" w:hint="default"/>
      </w:rPr>
    </w:lvl>
    <w:lvl w:ilvl="6" w:tplc="3B8276C8" w:tentative="1">
      <w:start w:val="1"/>
      <w:numFmt w:val="bullet"/>
      <w:lvlText w:val="•"/>
      <w:lvlJc w:val="left"/>
      <w:pPr>
        <w:tabs>
          <w:tab w:val="num" w:pos="5040"/>
        </w:tabs>
        <w:ind w:left="5040" w:hanging="360"/>
      </w:pPr>
      <w:rPr>
        <w:rFonts w:ascii="Arial" w:hAnsi="Arial" w:hint="default"/>
      </w:rPr>
    </w:lvl>
    <w:lvl w:ilvl="7" w:tplc="5D501DA8" w:tentative="1">
      <w:start w:val="1"/>
      <w:numFmt w:val="bullet"/>
      <w:lvlText w:val="•"/>
      <w:lvlJc w:val="left"/>
      <w:pPr>
        <w:tabs>
          <w:tab w:val="num" w:pos="5760"/>
        </w:tabs>
        <w:ind w:left="5760" w:hanging="360"/>
      </w:pPr>
      <w:rPr>
        <w:rFonts w:ascii="Arial" w:hAnsi="Arial" w:hint="default"/>
      </w:rPr>
    </w:lvl>
    <w:lvl w:ilvl="8" w:tplc="FF0E46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1"/>
  </w:num>
  <w:num w:numId="3">
    <w:abstractNumId w:val="0"/>
  </w:num>
  <w:num w:numId="4">
    <w:abstractNumId w:val="5"/>
  </w:num>
  <w:num w:numId="5">
    <w:abstractNumId w:val="12"/>
  </w:num>
  <w:num w:numId="6">
    <w:abstractNumId w:val="2"/>
  </w:num>
  <w:num w:numId="7">
    <w:abstractNumId w:val="14"/>
  </w:num>
  <w:num w:numId="8">
    <w:abstractNumId w:val="4"/>
  </w:num>
  <w:num w:numId="9">
    <w:abstractNumId w:val="3"/>
  </w:num>
  <w:num w:numId="10">
    <w:abstractNumId w:val="7"/>
  </w:num>
  <w:num w:numId="11">
    <w:abstractNumId w:val="0"/>
    <w:lvlOverride w:ilvl="0">
      <w:startOverride w:val="1"/>
    </w:lvlOverride>
  </w:num>
  <w:num w:numId="12">
    <w:abstractNumId w:val="5"/>
    <w:lvlOverride w:ilvl="0">
      <w:startOverride w:val="1"/>
    </w:lvlOverride>
  </w:num>
  <w:num w:numId="13">
    <w:abstractNumId w:val="1"/>
  </w:num>
  <w:num w:numId="14">
    <w:abstractNumId w:val="6"/>
  </w:num>
  <w:num w:numId="15">
    <w:abstractNumId w:val="9"/>
  </w:num>
  <w:num w:numId="16">
    <w:abstractNumId w:val="13"/>
  </w:num>
  <w:num w:numId="17">
    <w:abstractNumId w:val="8"/>
  </w:num>
  <w:num w:numId="18">
    <w:abstractNumId w:val="5"/>
    <w:lvlOverride w:ilvl="0">
      <w:startOverride w:val="1"/>
    </w:lvlOverride>
  </w:num>
  <w:num w:numId="19">
    <w:abstractNumId w:val="0"/>
    <w:lvlOverride w:ilvl="0">
      <w:startOverride w:val="1"/>
    </w:lvlOverride>
  </w:num>
  <w:num w:numId="20">
    <w:abstractNumId w:val="5"/>
    <w:lvlOverride w:ilvl="0">
      <w:startOverride w:val="1"/>
    </w:lvlOverride>
  </w:num>
  <w:num w:numId="21">
    <w:abstractNumId w:val="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37B67"/>
    <w:rsid w:val="00084253"/>
    <w:rsid w:val="00086031"/>
    <w:rsid w:val="00086A1D"/>
    <w:rsid w:val="000915E7"/>
    <w:rsid w:val="000A4DB1"/>
    <w:rsid w:val="000A5856"/>
    <w:rsid w:val="000C68F4"/>
    <w:rsid w:val="000D345A"/>
    <w:rsid w:val="000F0B45"/>
    <w:rsid w:val="00106E4B"/>
    <w:rsid w:val="0011360B"/>
    <w:rsid w:val="001175B5"/>
    <w:rsid w:val="00136B1B"/>
    <w:rsid w:val="00142697"/>
    <w:rsid w:val="001439A6"/>
    <w:rsid w:val="001B7488"/>
    <w:rsid w:val="001C3749"/>
    <w:rsid w:val="001C4440"/>
    <w:rsid w:val="001E3115"/>
    <w:rsid w:val="001F007C"/>
    <w:rsid w:val="001F0B11"/>
    <w:rsid w:val="00204E15"/>
    <w:rsid w:val="00214DBD"/>
    <w:rsid w:val="00217056"/>
    <w:rsid w:val="00221897"/>
    <w:rsid w:val="00222181"/>
    <w:rsid w:val="00222491"/>
    <w:rsid w:val="00223345"/>
    <w:rsid w:val="0025166E"/>
    <w:rsid w:val="002517E4"/>
    <w:rsid w:val="0025198E"/>
    <w:rsid w:val="00256403"/>
    <w:rsid w:val="0026337D"/>
    <w:rsid w:val="00264A2C"/>
    <w:rsid w:val="0026679C"/>
    <w:rsid w:val="00274204"/>
    <w:rsid w:val="0027571A"/>
    <w:rsid w:val="0028155C"/>
    <w:rsid w:val="0028714D"/>
    <w:rsid w:val="00290918"/>
    <w:rsid w:val="002928C5"/>
    <w:rsid w:val="002C54B1"/>
    <w:rsid w:val="002C7212"/>
    <w:rsid w:val="002E2F7D"/>
    <w:rsid w:val="002E5B0A"/>
    <w:rsid w:val="002F5650"/>
    <w:rsid w:val="00310D5F"/>
    <w:rsid w:val="00312EDF"/>
    <w:rsid w:val="00314027"/>
    <w:rsid w:val="00327B16"/>
    <w:rsid w:val="00332A2F"/>
    <w:rsid w:val="00346C56"/>
    <w:rsid w:val="00366E98"/>
    <w:rsid w:val="00370667"/>
    <w:rsid w:val="003742D3"/>
    <w:rsid w:val="00375269"/>
    <w:rsid w:val="0038762B"/>
    <w:rsid w:val="00390076"/>
    <w:rsid w:val="00394F1A"/>
    <w:rsid w:val="003955D1"/>
    <w:rsid w:val="00396C7C"/>
    <w:rsid w:val="003A518C"/>
    <w:rsid w:val="003A6C47"/>
    <w:rsid w:val="003B1587"/>
    <w:rsid w:val="003C358A"/>
    <w:rsid w:val="003C5507"/>
    <w:rsid w:val="003C63C1"/>
    <w:rsid w:val="003E6D10"/>
    <w:rsid w:val="003E7958"/>
    <w:rsid w:val="003F6C0B"/>
    <w:rsid w:val="003F7093"/>
    <w:rsid w:val="00401A10"/>
    <w:rsid w:val="0041466C"/>
    <w:rsid w:val="00416BDF"/>
    <w:rsid w:val="00430809"/>
    <w:rsid w:val="004308FF"/>
    <w:rsid w:val="0043491A"/>
    <w:rsid w:val="00447EFE"/>
    <w:rsid w:val="00452050"/>
    <w:rsid w:val="0045261D"/>
    <w:rsid w:val="004575B7"/>
    <w:rsid w:val="004842BC"/>
    <w:rsid w:val="00490AA4"/>
    <w:rsid w:val="00496C1C"/>
    <w:rsid w:val="004B0938"/>
    <w:rsid w:val="004B25B2"/>
    <w:rsid w:val="004C515A"/>
    <w:rsid w:val="004C607D"/>
    <w:rsid w:val="004C739A"/>
    <w:rsid w:val="00517C7B"/>
    <w:rsid w:val="00525EDA"/>
    <w:rsid w:val="005303A3"/>
    <w:rsid w:val="00532969"/>
    <w:rsid w:val="00553E20"/>
    <w:rsid w:val="00554862"/>
    <w:rsid w:val="005720C1"/>
    <w:rsid w:val="00576D52"/>
    <w:rsid w:val="00577917"/>
    <w:rsid w:val="00583DF4"/>
    <w:rsid w:val="0058776D"/>
    <w:rsid w:val="00590203"/>
    <w:rsid w:val="005A15EC"/>
    <w:rsid w:val="005C3579"/>
    <w:rsid w:val="005D0C23"/>
    <w:rsid w:val="005D7B80"/>
    <w:rsid w:val="005D7F6A"/>
    <w:rsid w:val="005E0EAC"/>
    <w:rsid w:val="005F3786"/>
    <w:rsid w:val="0060151C"/>
    <w:rsid w:val="00616955"/>
    <w:rsid w:val="00624A59"/>
    <w:rsid w:val="00626C53"/>
    <w:rsid w:val="0063536C"/>
    <w:rsid w:val="00637807"/>
    <w:rsid w:val="00650955"/>
    <w:rsid w:val="006654A8"/>
    <w:rsid w:val="006A6EA3"/>
    <w:rsid w:val="006B64A3"/>
    <w:rsid w:val="006B7BB4"/>
    <w:rsid w:val="00702B3A"/>
    <w:rsid w:val="007054F0"/>
    <w:rsid w:val="0072378A"/>
    <w:rsid w:val="00723859"/>
    <w:rsid w:val="00724F2D"/>
    <w:rsid w:val="00733272"/>
    <w:rsid w:val="0076674F"/>
    <w:rsid w:val="00775C27"/>
    <w:rsid w:val="00786759"/>
    <w:rsid w:val="00791B6E"/>
    <w:rsid w:val="007970AF"/>
    <w:rsid w:val="007B61F6"/>
    <w:rsid w:val="007C4349"/>
    <w:rsid w:val="007D050C"/>
    <w:rsid w:val="007D2632"/>
    <w:rsid w:val="007D6D0D"/>
    <w:rsid w:val="007E26E7"/>
    <w:rsid w:val="007E6E59"/>
    <w:rsid w:val="00804C38"/>
    <w:rsid w:val="00810CF0"/>
    <w:rsid w:val="00816816"/>
    <w:rsid w:val="00825BC9"/>
    <w:rsid w:val="0084187D"/>
    <w:rsid w:val="00846F6F"/>
    <w:rsid w:val="00847B68"/>
    <w:rsid w:val="00857810"/>
    <w:rsid w:val="008664AE"/>
    <w:rsid w:val="008667D2"/>
    <w:rsid w:val="008727FE"/>
    <w:rsid w:val="00873A77"/>
    <w:rsid w:val="00874ED9"/>
    <w:rsid w:val="00886698"/>
    <w:rsid w:val="008A7439"/>
    <w:rsid w:val="008C70FA"/>
    <w:rsid w:val="008D76B7"/>
    <w:rsid w:val="008E2E9E"/>
    <w:rsid w:val="00910DCD"/>
    <w:rsid w:val="00915630"/>
    <w:rsid w:val="009163A1"/>
    <w:rsid w:val="00927BCE"/>
    <w:rsid w:val="009466A7"/>
    <w:rsid w:val="0095517A"/>
    <w:rsid w:val="009557F1"/>
    <w:rsid w:val="009614E1"/>
    <w:rsid w:val="00984EDF"/>
    <w:rsid w:val="0099790B"/>
    <w:rsid w:val="009A00EA"/>
    <w:rsid w:val="009A0F65"/>
    <w:rsid w:val="009B3709"/>
    <w:rsid w:val="009C2E19"/>
    <w:rsid w:val="009E4EFB"/>
    <w:rsid w:val="00A00C53"/>
    <w:rsid w:val="00A1234D"/>
    <w:rsid w:val="00A123A9"/>
    <w:rsid w:val="00A3536B"/>
    <w:rsid w:val="00A4708B"/>
    <w:rsid w:val="00A62D36"/>
    <w:rsid w:val="00A6690E"/>
    <w:rsid w:val="00A70F98"/>
    <w:rsid w:val="00A73ABD"/>
    <w:rsid w:val="00A80BB8"/>
    <w:rsid w:val="00A85837"/>
    <w:rsid w:val="00A9559C"/>
    <w:rsid w:val="00AA3E3D"/>
    <w:rsid w:val="00AA488B"/>
    <w:rsid w:val="00AC00B7"/>
    <w:rsid w:val="00AC5345"/>
    <w:rsid w:val="00AD1FED"/>
    <w:rsid w:val="00AF5146"/>
    <w:rsid w:val="00B30C97"/>
    <w:rsid w:val="00B31C33"/>
    <w:rsid w:val="00B4139B"/>
    <w:rsid w:val="00B51F45"/>
    <w:rsid w:val="00B57BBD"/>
    <w:rsid w:val="00B64841"/>
    <w:rsid w:val="00B759EA"/>
    <w:rsid w:val="00B77F2E"/>
    <w:rsid w:val="00B82C50"/>
    <w:rsid w:val="00BA1682"/>
    <w:rsid w:val="00BA204D"/>
    <w:rsid w:val="00BA7304"/>
    <w:rsid w:val="00BC014F"/>
    <w:rsid w:val="00BC4DE3"/>
    <w:rsid w:val="00BD34D5"/>
    <w:rsid w:val="00BE7E47"/>
    <w:rsid w:val="00BF2C4B"/>
    <w:rsid w:val="00C006CD"/>
    <w:rsid w:val="00C06889"/>
    <w:rsid w:val="00C16B1D"/>
    <w:rsid w:val="00C41355"/>
    <w:rsid w:val="00C44D88"/>
    <w:rsid w:val="00C55A77"/>
    <w:rsid w:val="00C57746"/>
    <w:rsid w:val="00C663FA"/>
    <w:rsid w:val="00C71D5F"/>
    <w:rsid w:val="00C74BB5"/>
    <w:rsid w:val="00C76055"/>
    <w:rsid w:val="00C94719"/>
    <w:rsid w:val="00CB4AD4"/>
    <w:rsid w:val="00CB4E1F"/>
    <w:rsid w:val="00CB5BC2"/>
    <w:rsid w:val="00CC519B"/>
    <w:rsid w:val="00CD2D65"/>
    <w:rsid w:val="00CD7A7A"/>
    <w:rsid w:val="00CF4E89"/>
    <w:rsid w:val="00CF56E6"/>
    <w:rsid w:val="00CF77FF"/>
    <w:rsid w:val="00D13468"/>
    <w:rsid w:val="00D13527"/>
    <w:rsid w:val="00D14BDA"/>
    <w:rsid w:val="00D313C1"/>
    <w:rsid w:val="00D346A5"/>
    <w:rsid w:val="00D374D5"/>
    <w:rsid w:val="00D46BD4"/>
    <w:rsid w:val="00D4790B"/>
    <w:rsid w:val="00D53400"/>
    <w:rsid w:val="00D558C8"/>
    <w:rsid w:val="00D77231"/>
    <w:rsid w:val="00D87106"/>
    <w:rsid w:val="00D90964"/>
    <w:rsid w:val="00DA0A73"/>
    <w:rsid w:val="00DA1D78"/>
    <w:rsid w:val="00DA25CB"/>
    <w:rsid w:val="00DA38C9"/>
    <w:rsid w:val="00DA5959"/>
    <w:rsid w:val="00DC122D"/>
    <w:rsid w:val="00DC15D7"/>
    <w:rsid w:val="00DC4085"/>
    <w:rsid w:val="00DD02F4"/>
    <w:rsid w:val="00DD4408"/>
    <w:rsid w:val="00DE26CF"/>
    <w:rsid w:val="00DF2FBF"/>
    <w:rsid w:val="00DF3165"/>
    <w:rsid w:val="00E14775"/>
    <w:rsid w:val="00E25220"/>
    <w:rsid w:val="00E375A2"/>
    <w:rsid w:val="00E57A0C"/>
    <w:rsid w:val="00E57C71"/>
    <w:rsid w:val="00E6511D"/>
    <w:rsid w:val="00E77C55"/>
    <w:rsid w:val="00E77E8A"/>
    <w:rsid w:val="00E8060F"/>
    <w:rsid w:val="00E856AC"/>
    <w:rsid w:val="00E8582B"/>
    <w:rsid w:val="00E90C97"/>
    <w:rsid w:val="00EA0DA0"/>
    <w:rsid w:val="00EB2E04"/>
    <w:rsid w:val="00EB72E6"/>
    <w:rsid w:val="00EC7ECD"/>
    <w:rsid w:val="00ED077D"/>
    <w:rsid w:val="00EE1B16"/>
    <w:rsid w:val="00EF0103"/>
    <w:rsid w:val="00EF27CF"/>
    <w:rsid w:val="00F126C1"/>
    <w:rsid w:val="00F12E3B"/>
    <w:rsid w:val="00F14EA8"/>
    <w:rsid w:val="00F17E00"/>
    <w:rsid w:val="00F20511"/>
    <w:rsid w:val="00F20EB8"/>
    <w:rsid w:val="00F237C2"/>
    <w:rsid w:val="00F26D01"/>
    <w:rsid w:val="00F50497"/>
    <w:rsid w:val="00F54162"/>
    <w:rsid w:val="00F63240"/>
    <w:rsid w:val="00F82C50"/>
    <w:rsid w:val="00FA7696"/>
    <w:rsid w:val="00FB172E"/>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BB5"/>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87978610">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20274603">
      <w:bodyDiv w:val="1"/>
      <w:marLeft w:val="0"/>
      <w:marRight w:val="0"/>
      <w:marTop w:val="0"/>
      <w:marBottom w:val="0"/>
      <w:divBdr>
        <w:top w:val="none" w:sz="0" w:space="0" w:color="auto"/>
        <w:left w:val="none" w:sz="0" w:space="0" w:color="auto"/>
        <w:bottom w:val="none" w:sz="0" w:space="0" w:color="auto"/>
        <w:right w:val="none" w:sz="0" w:space="0" w:color="auto"/>
      </w:divBdr>
    </w:div>
    <w:div w:id="392236530">
      <w:bodyDiv w:val="1"/>
      <w:marLeft w:val="0"/>
      <w:marRight w:val="0"/>
      <w:marTop w:val="0"/>
      <w:marBottom w:val="0"/>
      <w:divBdr>
        <w:top w:val="none" w:sz="0" w:space="0" w:color="auto"/>
        <w:left w:val="none" w:sz="0" w:space="0" w:color="auto"/>
        <w:bottom w:val="none" w:sz="0" w:space="0" w:color="auto"/>
        <w:right w:val="none" w:sz="0" w:space="0" w:color="auto"/>
      </w:divBdr>
      <w:divsChild>
        <w:div w:id="267082423">
          <w:marLeft w:val="1080"/>
          <w:marRight w:val="0"/>
          <w:marTop w:val="100"/>
          <w:marBottom w:val="0"/>
          <w:divBdr>
            <w:top w:val="none" w:sz="0" w:space="0" w:color="auto"/>
            <w:left w:val="none" w:sz="0" w:space="0" w:color="auto"/>
            <w:bottom w:val="none" w:sz="0" w:space="0" w:color="auto"/>
            <w:right w:val="none" w:sz="0" w:space="0" w:color="auto"/>
          </w:divBdr>
        </w:div>
        <w:div w:id="806438919">
          <w:marLeft w:val="1800"/>
          <w:marRight w:val="0"/>
          <w:marTop w:val="100"/>
          <w:marBottom w:val="0"/>
          <w:divBdr>
            <w:top w:val="none" w:sz="0" w:space="0" w:color="auto"/>
            <w:left w:val="none" w:sz="0" w:space="0" w:color="auto"/>
            <w:bottom w:val="none" w:sz="0" w:space="0" w:color="auto"/>
            <w:right w:val="none" w:sz="0" w:space="0" w:color="auto"/>
          </w:divBdr>
        </w:div>
        <w:div w:id="1474905584">
          <w:marLeft w:val="1800"/>
          <w:marRight w:val="0"/>
          <w:marTop w:val="100"/>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46740464">
      <w:bodyDiv w:val="1"/>
      <w:marLeft w:val="0"/>
      <w:marRight w:val="0"/>
      <w:marTop w:val="0"/>
      <w:marBottom w:val="0"/>
      <w:divBdr>
        <w:top w:val="none" w:sz="0" w:space="0" w:color="auto"/>
        <w:left w:val="none" w:sz="0" w:space="0" w:color="auto"/>
        <w:bottom w:val="none" w:sz="0" w:space="0" w:color="auto"/>
        <w:right w:val="none" w:sz="0" w:space="0" w:color="auto"/>
      </w:divBdr>
      <w:divsChild>
        <w:div w:id="987979722">
          <w:marLeft w:val="360"/>
          <w:marRight w:val="0"/>
          <w:marTop w:val="240"/>
          <w:marBottom w:val="0"/>
          <w:divBdr>
            <w:top w:val="none" w:sz="0" w:space="0" w:color="auto"/>
            <w:left w:val="none" w:sz="0" w:space="0" w:color="auto"/>
            <w:bottom w:val="none" w:sz="0" w:space="0" w:color="auto"/>
            <w:right w:val="none" w:sz="0" w:space="0" w:color="auto"/>
          </w:divBdr>
        </w:div>
        <w:div w:id="68625103">
          <w:marLeft w:val="1080"/>
          <w:marRight w:val="0"/>
          <w:marTop w:val="100"/>
          <w:marBottom w:val="0"/>
          <w:divBdr>
            <w:top w:val="none" w:sz="0" w:space="0" w:color="auto"/>
            <w:left w:val="none" w:sz="0" w:space="0" w:color="auto"/>
            <w:bottom w:val="none" w:sz="0" w:space="0" w:color="auto"/>
            <w:right w:val="none" w:sz="0" w:space="0" w:color="auto"/>
          </w:divBdr>
        </w:div>
        <w:div w:id="959796574">
          <w:marLeft w:val="1800"/>
          <w:marRight w:val="0"/>
          <w:marTop w:val="100"/>
          <w:marBottom w:val="0"/>
          <w:divBdr>
            <w:top w:val="none" w:sz="0" w:space="0" w:color="auto"/>
            <w:left w:val="none" w:sz="0" w:space="0" w:color="auto"/>
            <w:bottom w:val="none" w:sz="0" w:space="0" w:color="auto"/>
            <w:right w:val="none" w:sz="0" w:space="0" w:color="auto"/>
          </w:divBdr>
        </w:div>
        <w:div w:id="1846283249">
          <w:marLeft w:val="1800"/>
          <w:marRight w:val="0"/>
          <w:marTop w:val="100"/>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8068630">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339685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66378253">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82959659">
      <w:bodyDiv w:val="1"/>
      <w:marLeft w:val="0"/>
      <w:marRight w:val="0"/>
      <w:marTop w:val="0"/>
      <w:marBottom w:val="0"/>
      <w:divBdr>
        <w:top w:val="none" w:sz="0" w:space="0" w:color="auto"/>
        <w:left w:val="none" w:sz="0" w:space="0" w:color="auto"/>
        <w:bottom w:val="none" w:sz="0" w:space="0" w:color="auto"/>
        <w:right w:val="none" w:sz="0" w:space="0" w:color="auto"/>
      </w:divBdr>
      <w:divsChild>
        <w:div w:id="158272640">
          <w:marLeft w:val="360"/>
          <w:marRight w:val="0"/>
          <w:marTop w:val="240"/>
          <w:marBottom w:val="0"/>
          <w:divBdr>
            <w:top w:val="none" w:sz="0" w:space="0" w:color="auto"/>
            <w:left w:val="none" w:sz="0" w:space="0" w:color="auto"/>
            <w:bottom w:val="none" w:sz="0" w:space="0" w:color="auto"/>
            <w:right w:val="none" w:sz="0" w:space="0" w:color="auto"/>
          </w:divBdr>
        </w:div>
        <w:div w:id="693043449">
          <w:marLeft w:val="1080"/>
          <w:marRight w:val="0"/>
          <w:marTop w:val="100"/>
          <w:marBottom w:val="0"/>
          <w:divBdr>
            <w:top w:val="none" w:sz="0" w:space="0" w:color="auto"/>
            <w:left w:val="none" w:sz="0" w:space="0" w:color="auto"/>
            <w:bottom w:val="none" w:sz="0" w:space="0" w:color="auto"/>
            <w:right w:val="none" w:sz="0" w:space="0" w:color="auto"/>
          </w:divBdr>
        </w:div>
        <w:div w:id="575480915">
          <w:marLeft w:val="1800"/>
          <w:marRight w:val="0"/>
          <w:marTop w:val="100"/>
          <w:marBottom w:val="0"/>
          <w:divBdr>
            <w:top w:val="none" w:sz="0" w:space="0" w:color="auto"/>
            <w:left w:val="none" w:sz="0" w:space="0" w:color="auto"/>
            <w:bottom w:val="none" w:sz="0" w:space="0" w:color="auto"/>
            <w:right w:val="none" w:sz="0" w:space="0" w:color="auto"/>
          </w:divBdr>
        </w:div>
        <w:div w:id="185292787">
          <w:marLeft w:val="360"/>
          <w:marRight w:val="0"/>
          <w:marTop w:val="200"/>
          <w:marBottom w:val="0"/>
          <w:divBdr>
            <w:top w:val="none" w:sz="0" w:space="0" w:color="auto"/>
            <w:left w:val="none" w:sz="0" w:space="0" w:color="auto"/>
            <w:bottom w:val="none" w:sz="0" w:space="0" w:color="auto"/>
            <w:right w:val="none" w:sz="0" w:space="0" w:color="auto"/>
          </w:divBdr>
        </w:div>
        <w:div w:id="1323662359">
          <w:marLeft w:val="1080"/>
          <w:marRight w:val="0"/>
          <w:marTop w:val="100"/>
          <w:marBottom w:val="0"/>
          <w:divBdr>
            <w:top w:val="none" w:sz="0" w:space="0" w:color="auto"/>
            <w:left w:val="none" w:sz="0" w:space="0" w:color="auto"/>
            <w:bottom w:val="none" w:sz="0" w:space="0" w:color="auto"/>
            <w:right w:val="none" w:sz="0" w:space="0" w:color="auto"/>
          </w:divBdr>
        </w:div>
        <w:div w:id="1526480855">
          <w:marLeft w:val="1800"/>
          <w:marRight w:val="0"/>
          <w:marTop w:val="100"/>
          <w:marBottom w:val="0"/>
          <w:divBdr>
            <w:top w:val="none" w:sz="0" w:space="0" w:color="auto"/>
            <w:left w:val="none" w:sz="0" w:space="0" w:color="auto"/>
            <w:bottom w:val="none" w:sz="0" w:space="0" w:color="auto"/>
            <w:right w:val="none" w:sz="0" w:space="0" w:color="auto"/>
          </w:divBdr>
        </w:div>
        <w:div w:id="1565872722">
          <w:marLeft w:val="360"/>
          <w:marRight w:val="0"/>
          <w:marTop w:val="200"/>
          <w:marBottom w:val="0"/>
          <w:divBdr>
            <w:top w:val="none" w:sz="0" w:space="0" w:color="auto"/>
            <w:left w:val="none" w:sz="0" w:space="0" w:color="auto"/>
            <w:bottom w:val="none" w:sz="0" w:space="0" w:color="auto"/>
            <w:right w:val="none" w:sz="0" w:space="0" w:color="auto"/>
          </w:divBdr>
        </w:div>
        <w:div w:id="287205616">
          <w:marLeft w:val="1080"/>
          <w:marRight w:val="0"/>
          <w:marTop w:val="100"/>
          <w:marBottom w:val="0"/>
          <w:divBdr>
            <w:top w:val="none" w:sz="0" w:space="0" w:color="auto"/>
            <w:left w:val="none" w:sz="0" w:space="0" w:color="auto"/>
            <w:bottom w:val="none" w:sz="0" w:space="0" w:color="auto"/>
            <w:right w:val="none" w:sz="0" w:space="0" w:color="auto"/>
          </w:divBdr>
        </w:div>
        <w:div w:id="1317806902">
          <w:marLeft w:val="1800"/>
          <w:marRight w:val="0"/>
          <w:marTop w:val="100"/>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27276562">
      <w:bodyDiv w:val="1"/>
      <w:marLeft w:val="0"/>
      <w:marRight w:val="0"/>
      <w:marTop w:val="0"/>
      <w:marBottom w:val="0"/>
      <w:divBdr>
        <w:top w:val="none" w:sz="0" w:space="0" w:color="auto"/>
        <w:left w:val="none" w:sz="0" w:space="0" w:color="auto"/>
        <w:bottom w:val="none" w:sz="0" w:space="0" w:color="auto"/>
        <w:right w:val="none" w:sz="0" w:space="0" w:color="auto"/>
      </w:divBdr>
    </w:div>
    <w:div w:id="1670984119">
      <w:bodyDiv w:val="1"/>
      <w:marLeft w:val="0"/>
      <w:marRight w:val="0"/>
      <w:marTop w:val="0"/>
      <w:marBottom w:val="0"/>
      <w:divBdr>
        <w:top w:val="none" w:sz="0" w:space="0" w:color="auto"/>
        <w:left w:val="none" w:sz="0" w:space="0" w:color="auto"/>
        <w:bottom w:val="none" w:sz="0" w:space="0" w:color="auto"/>
        <w:right w:val="none" w:sz="0" w:space="0" w:color="auto"/>
      </w:divBdr>
      <w:divsChild>
        <w:div w:id="271983333">
          <w:marLeft w:val="360"/>
          <w:marRight w:val="0"/>
          <w:marTop w:val="200"/>
          <w:marBottom w:val="0"/>
          <w:divBdr>
            <w:top w:val="none" w:sz="0" w:space="0" w:color="auto"/>
            <w:left w:val="none" w:sz="0" w:space="0" w:color="auto"/>
            <w:bottom w:val="none" w:sz="0" w:space="0" w:color="auto"/>
            <w:right w:val="none" w:sz="0" w:space="0" w:color="auto"/>
          </w:divBdr>
        </w:div>
        <w:div w:id="1272543562">
          <w:marLeft w:val="1080"/>
          <w:marRight w:val="0"/>
          <w:marTop w:val="100"/>
          <w:marBottom w:val="0"/>
          <w:divBdr>
            <w:top w:val="none" w:sz="0" w:space="0" w:color="auto"/>
            <w:left w:val="none" w:sz="0" w:space="0" w:color="auto"/>
            <w:bottom w:val="none" w:sz="0" w:space="0" w:color="auto"/>
            <w:right w:val="none" w:sz="0" w:space="0" w:color="auto"/>
          </w:divBdr>
        </w:div>
        <w:div w:id="1433822472">
          <w:marLeft w:val="1080"/>
          <w:marRight w:val="0"/>
          <w:marTop w:val="100"/>
          <w:marBottom w:val="0"/>
          <w:divBdr>
            <w:top w:val="none" w:sz="0" w:space="0" w:color="auto"/>
            <w:left w:val="none" w:sz="0" w:space="0" w:color="auto"/>
            <w:bottom w:val="none" w:sz="0" w:space="0" w:color="auto"/>
            <w:right w:val="none" w:sz="0" w:space="0" w:color="auto"/>
          </w:divBdr>
        </w:div>
        <w:div w:id="643780439">
          <w:marLeft w:val="1080"/>
          <w:marRight w:val="0"/>
          <w:marTop w:val="100"/>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775127044">
      <w:bodyDiv w:val="1"/>
      <w:marLeft w:val="0"/>
      <w:marRight w:val="0"/>
      <w:marTop w:val="0"/>
      <w:marBottom w:val="0"/>
      <w:divBdr>
        <w:top w:val="none" w:sz="0" w:space="0" w:color="auto"/>
        <w:left w:val="none" w:sz="0" w:space="0" w:color="auto"/>
        <w:bottom w:val="none" w:sz="0" w:space="0" w:color="auto"/>
        <w:right w:val="none" w:sz="0" w:space="0" w:color="auto"/>
      </w:divBdr>
      <w:divsChild>
        <w:div w:id="517895441">
          <w:marLeft w:val="360"/>
          <w:marRight w:val="0"/>
          <w:marTop w:val="240"/>
          <w:marBottom w:val="0"/>
          <w:divBdr>
            <w:top w:val="none" w:sz="0" w:space="0" w:color="auto"/>
            <w:left w:val="none" w:sz="0" w:space="0" w:color="auto"/>
            <w:bottom w:val="none" w:sz="0" w:space="0" w:color="auto"/>
            <w:right w:val="none" w:sz="0" w:space="0" w:color="auto"/>
          </w:divBdr>
        </w:div>
        <w:div w:id="1412047201">
          <w:marLeft w:val="1080"/>
          <w:marRight w:val="0"/>
          <w:marTop w:val="100"/>
          <w:marBottom w:val="0"/>
          <w:divBdr>
            <w:top w:val="none" w:sz="0" w:space="0" w:color="auto"/>
            <w:left w:val="none" w:sz="0" w:space="0" w:color="auto"/>
            <w:bottom w:val="none" w:sz="0" w:space="0" w:color="auto"/>
            <w:right w:val="none" w:sz="0" w:space="0" w:color="auto"/>
          </w:divBdr>
        </w:div>
        <w:div w:id="420639275">
          <w:marLeft w:val="1800"/>
          <w:marRight w:val="0"/>
          <w:marTop w:val="100"/>
          <w:marBottom w:val="0"/>
          <w:divBdr>
            <w:top w:val="none" w:sz="0" w:space="0" w:color="auto"/>
            <w:left w:val="none" w:sz="0" w:space="0" w:color="auto"/>
            <w:bottom w:val="none" w:sz="0" w:space="0" w:color="auto"/>
            <w:right w:val="none" w:sz="0" w:space="0" w:color="auto"/>
          </w:divBdr>
        </w:div>
        <w:div w:id="1600913952">
          <w:marLeft w:val="360"/>
          <w:marRight w:val="0"/>
          <w:marTop w:val="200"/>
          <w:marBottom w:val="0"/>
          <w:divBdr>
            <w:top w:val="none" w:sz="0" w:space="0" w:color="auto"/>
            <w:left w:val="none" w:sz="0" w:space="0" w:color="auto"/>
            <w:bottom w:val="none" w:sz="0" w:space="0" w:color="auto"/>
            <w:right w:val="none" w:sz="0" w:space="0" w:color="auto"/>
          </w:divBdr>
        </w:div>
        <w:div w:id="600719615">
          <w:marLeft w:val="1080"/>
          <w:marRight w:val="0"/>
          <w:marTop w:val="100"/>
          <w:marBottom w:val="0"/>
          <w:divBdr>
            <w:top w:val="none" w:sz="0" w:space="0" w:color="auto"/>
            <w:left w:val="none" w:sz="0" w:space="0" w:color="auto"/>
            <w:bottom w:val="none" w:sz="0" w:space="0" w:color="auto"/>
            <w:right w:val="none" w:sz="0" w:space="0" w:color="auto"/>
          </w:divBdr>
        </w:div>
        <w:div w:id="1642272758">
          <w:marLeft w:val="1800"/>
          <w:marRight w:val="0"/>
          <w:marTop w:val="100"/>
          <w:marBottom w:val="0"/>
          <w:divBdr>
            <w:top w:val="none" w:sz="0" w:space="0" w:color="auto"/>
            <w:left w:val="none" w:sz="0" w:space="0" w:color="auto"/>
            <w:bottom w:val="none" w:sz="0" w:space="0" w:color="auto"/>
            <w:right w:val="none" w:sz="0" w:space="0" w:color="auto"/>
          </w:divBdr>
        </w:div>
        <w:div w:id="495537781">
          <w:marLeft w:val="360"/>
          <w:marRight w:val="0"/>
          <w:marTop w:val="200"/>
          <w:marBottom w:val="0"/>
          <w:divBdr>
            <w:top w:val="none" w:sz="0" w:space="0" w:color="auto"/>
            <w:left w:val="none" w:sz="0" w:space="0" w:color="auto"/>
            <w:bottom w:val="none" w:sz="0" w:space="0" w:color="auto"/>
            <w:right w:val="none" w:sz="0" w:space="0" w:color="auto"/>
          </w:divBdr>
        </w:div>
        <w:div w:id="2033022795">
          <w:marLeft w:val="1080"/>
          <w:marRight w:val="0"/>
          <w:marTop w:val="100"/>
          <w:marBottom w:val="0"/>
          <w:divBdr>
            <w:top w:val="none" w:sz="0" w:space="0" w:color="auto"/>
            <w:left w:val="none" w:sz="0" w:space="0" w:color="auto"/>
            <w:bottom w:val="none" w:sz="0" w:space="0" w:color="auto"/>
            <w:right w:val="none" w:sz="0" w:space="0" w:color="auto"/>
          </w:divBdr>
        </w:div>
        <w:div w:id="844514418">
          <w:marLeft w:val="1800"/>
          <w:marRight w:val="0"/>
          <w:marTop w:val="100"/>
          <w:marBottom w:val="0"/>
          <w:divBdr>
            <w:top w:val="none" w:sz="0" w:space="0" w:color="auto"/>
            <w:left w:val="none" w:sz="0" w:space="0" w:color="auto"/>
            <w:bottom w:val="none" w:sz="0" w:space="0" w:color="auto"/>
            <w:right w:val="none" w:sz="0" w:space="0" w:color="auto"/>
          </w:divBdr>
        </w:div>
      </w:divsChild>
    </w:div>
    <w:div w:id="1806698999">
      <w:bodyDiv w:val="1"/>
      <w:marLeft w:val="0"/>
      <w:marRight w:val="0"/>
      <w:marTop w:val="0"/>
      <w:marBottom w:val="0"/>
      <w:divBdr>
        <w:top w:val="none" w:sz="0" w:space="0" w:color="auto"/>
        <w:left w:val="none" w:sz="0" w:space="0" w:color="auto"/>
        <w:bottom w:val="none" w:sz="0" w:space="0" w:color="auto"/>
        <w:right w:val="none" w:sz="0" w:space="0" w:color="auto"/>
      </w:divBdr>
    </w:div>
    <w:div w:id="1836140363">
      <w:bodyDiv w:val="1"/>
      <w:marLeft w:val="0"/>
      <w:marRight w:val="0"/>
      <w:marTop w:val="0"/>
      <w:marBottom w:val="0"/>
      <w:divBdr>
        <w:top w:val="none" w:sz="0" w:space="0" w:color="auto"/>
        <w:left w:val="none" w:sz="0" w:space="0" w:color="auto"/>
        <w:bottom w:val="none" w:sz="0" w:space="0" w:color="auto"/>
        <w:right w:val="none" w:sz="0" w:space="0" w:color="auto"/>
      </w:divBdr>
      <w:divsChild>
        <w:div w:id="2103602082">
          <w:marLeft w:val="360"/>
          <w:marRight w:val="0"/>
          <w:marTop w:val="200"/>
          <w:marBottom w:val="0"/>
          <w:divBdr>
            <w:top w:val="none" w:sz="0" w:space="0" w:color="auto"/>
            <w:left w:val="none" w:sz="0" w:space="0" w:color="auto"/>
            <w:bottom w:val="none" w:sz="0" w:space="0" w:color="auto"/>
            <w:right w:val="none" w:sz="0" w:space="0" w:color="auto"/>
          </w:divBdr>
        </w:div>
        <w:div w:id="1333606795">
          <w:marLeft w:val="1080"/>
          <w:marRight w:val="0"/>
          <w:marTop w:val="100"/>
          <w:marBottom w:val="0"/>
          <w:divBdr>
            <w:top w:val="none" w:sz="0" w:space="0" w:color="auto"/>
            <w:left w:val="none" w:sz="0" w:space="0" w:color="auto"/>
            <w:bottom w:val="none" w:sz="0" w:space="0" w:color="auto"/>
            <w:right w:val="none" w:sz="0" w:space="0" w:color="auto"/>
          </w:divBdr>
        </w:div>
        <w:div w:id="87702843">
          <w:marLeft w:val="1080"/>
          <w:marRight w:val="0"/>
          <w:marTop w:val="100"/>
          <w:marBottom w:val="0"/>
          <w:divBdr>
            <w:top w:val="none" w:sz="0" w:space="0" w:color="auto"/>
            <w:left w:val="none" w:sz="0" w:space="0" w:color="auto"/>
            <w:bottom w:val="none" w:sz="0" w:space="0" w:color="auto"/>
            <w:right w:val="none" w:sz="0" w:space="0" w:color="auto"/>
          </w:divBdr>
        </w:div>
        <w:div w:id="503588302">
          <w:marLeft w:val="1080"/>
          <w:marRight w:val="0"/>
          <w:marTop w:val="100"/>
          <w:marBottom w:val="0"/>
          <w:divBdr>
            <w:top w:val="none" w:sz="0" w:space="0" w:color="auto"/>
            <w:left w:val="none" w:sz="0" w:space="0" w:color="auto"/>
            <w:bottom w:val="none" w:sz="0" w:space="0" w:color="auto"/>
            <w:right w:val="none" w:sz="0" w:space="0" w:color="auto"/>
          </w:divBdr>
        </w:div>
      </w:divsChild>
    </w:div>
    <w:div w:id="1847553676">
      <w:bodyDiv w:val="1"/>
      <w:marLeft w:val="0"/>
      <w:marRight w:val="0"/>
      <w:marTop w:val="0"/>
      <w:marBottom w:val="0"/>
      <w:divBdr>
        <w:top w:val="none" w:sz="0" w:space="0" w:color="auto"/>
        <w:left w:val="none" w:sz="0" w:space="0" w:color="auto"/>
        <w:bottom w:val="none" w:sz="0" w:space="0" w:color="auto"/>
        <w:right w:val="none" w:sz="0" w:space="0" w:color="auto"/>
      </w:divBdr>
      <w:divsChild>
        <w:div w:id="1460416544">
          <w:marLeft w:val="360"/>
          <w:marRight w:val="0"/>
          <w:marTop w:val="200"/>
          <w:marBottom w:val="0"/>
          <w:divBdr>
            <w:top w:val="none" w:sz="0" w:space="0" w:color="auto"/>
            <w:left w:val="none" w:sz="0" w:space="0" w:color="auto"/>
            <w:bottom w:val="none" w:sz="0" w:space="0" w:color="auto"/>
            <w:right w:val="none" w:sz="0" w:space="0" w:color="auto"/>
          </w:divBdr>
        </w:div>
        <w:div w:id="134687481">
          <w:marLeft w:val="1080"/>
          <w:marRight w:val="0"/>
          <w:marTop w:val="100"/>
          <w:marBottom w:val="0"/>
          <w:divBdr>
            <w:top w:val="none" w:sz="0" w:space="0" w:color="auto"/>
            <w:left w:val="none" w:sz="0" w:space="0" w:color="auto"/>
            <w:bottom w:val="none" w:sz="0" w:space="0" w:color="auto"/>
            <w:right w:val="none" w:sz="0" w:space="0" w:color="auto"/>
          </w:divBdr>
        </w:div>
        <w:div w:id="1673486566">
          <w:marLeft w:val="1080"/>
          <w:marRight w:val="0"/>
          <w:marTop w:val="100"/>
          <w:marBottom w:val="0"/>
          <w:divBdr>
            <w:top w:val="none" w:sz="0" w:space="0" w:color="auto"/>
            <w:left w:val="none" w:sz="0" w:space="0" w:color="auto"/>
            <w:bottom w:val="none" w:sz="0" w:space="0" w:color="auto"/>
            <w:right w:val="none" w:sz="0" w:space="0" w:color="auto"/>
          </w:divBdr>
        </w:div>
        <w:div w:id="1943495386">
          <w:marLeft w:val="1080"/>
          <w:marRight w:val="0"/>
          <w:marTop w:val="10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1ABA9-7A94-4DE8-94DB-A354B840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2653</TotalTime>
  <Pages>3</Pages>
  <Words>731</Words>
  <Characters>4171</Characters>
  <Application>Microsoft Office Word</Application>
  <DocSecurity>0</DocSecurity>
  <Lines>34</Lines>
  <Paragraphs>9</Paragraphs>
  <ScaleCrop>false</ScaleCrop>
  <Company>Huawei Technologies Co.,Ltd.</Company>
  <LinksUpToDate>false</LinksUpToDate>
  <CharactersWithSpaces>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cp:revision>
  <dcterms:created xsi:type="dcterms:W3CDTF">2021-01-11T12:36:00Z</dcterms:created>
  <dcterms:modified xsi:type="dcterms:W3CDTF">2021-04-02T13:23:00Z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(3)IMs0+7KEwZ36A3s1v8yJpInPfbKNi1k50hAAhz7/K0Rp1NiNf53MtycZJl0huPchJjRKf5C/
qOCS433XqAyAQB94hcgPho1mq2+DaQcv6LG/aoMOCkxtxKeJ1daFIQCaUVQHqACHGFjQg/BE
Vu6pqGSqlVper8Bw4JZogfVSipdaHZ0v4hFneJHPKtkwNTz62Pq8yZH0E9syadVmHeP+rU0R
DVNsufBff7+4Ua0ZRL</vt:lpwstr>
  </property>
  <property fmtid="{D5CDD505-2E9C-101B-9397-08002B2CF9AE}" pid="3" name="_2015_ms_pID_7253431">
    <vt:lpwstr>fa2iB59bTn78qUXn1ggX9srWqPDgh5dGWI4Qmm2ZwUiJdEzlR3Pl9/
TJdaf9fvFxt7oHw2aTfvAMrIzH4JaFCnY5aukuwb+h5IQAfe3Os4ltUJ9bh6eyA2n8b357/q
vxKy+K8GxSFbfbqwaKi9O0vwGdQLlovifQKIhjlLF3XS6BoNW+DGSSEjpTYnEQFwYdLoHX6p
46X9+cVovT3LHmwtm+foob+pHcsJ3TIs5kEW</vt:lpwstr>
  </property>
  <property fmtid="{D5CDD505-2E9C-101B-9397-08002B2CF9AE}" pid="4" name="_2015_ms_pID_7253432">
    <vt:lpwstr>TgoWzx735ja5LcrIsCMl3bk=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1617363983</vt:lpwstr>
  </property>
</Properties>
</file>